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B9682" w14:textId="77777777" w:rsidR="008E7D07" w:rsidRDefault="008E7D07" w:rsidP="005B1040">
      <w:pPr>
        <w:pStyle w:val="Title"/>
        <w:rPr>
          <w:lang w:val="et-EE"/>
        </w:rPr>
      </w:pPr>
      <w:r>
        <w:rPr>
          <w:lang w:val="et-EE"/>
        </w:rPr>
        <w:t>Eesti SPordi- ja olümpiamuuseumi arengukava 2018-2022</w:t>
      </w:r>
    </w:p>
    <w:p w14:paraId="5FC9DEAE" w14:textId="77777777" w:rsidR="008E7D07" w:rsidRDefault="008E7D07" w:rsidP="005B1040">
      <w:pPr>
        <w:pStyle w:val="Title"/>
        <w:rPr>
          <w:lang w:val="et-EE"/>
        </w:rPr>
      </w:pPr>
    </w:p>
    <w:p w14:paraId="5E7090CD" w14:textId="77777777" w:rsidR="004C74EE" w:rsidRDefault="005B1040" w:rsidP="005B1040">
      <w:pPr>
        <w:pStyle w:val="Title"/>
        <w:rPr>
          <w:lang w:val="et-EE"/>
        </w:rPr>
      </w:pPr>
      <w:r>
        <w:rPr>
          <w:lang w:val="et-EE"/>
        </w:rPr>
        <w:t>Missioon</w:t>
      </w:r>
    </w:p>
    <w:p w14:paraId="1F6FEF47" w14:textId="77777777" w:rsidR="005B1040" w:rsidRDefault="005B1040" w:rsidP="005B1040">
      <w:pPr>
        <w:rPr>
          <w:lang w:val="et-EE"/>
        </w:rPr>
      </w:pPr>
    </w:p>
    <w:p w14:paraId="17A380EB" w14:textId="6A9DB5D3" w:rsidR="00F35590" w:rsidRPr="00E13730" w:rsidRDefault="00E13730" w:rsidP="00E13730">
      <w:pPr>
        <w:jc w:val="both"/>
        <w:rPr>
          <w:sz w:val="24"/>
          <w:lang w:val="et-EE"/>
        </w:rPr>
      </w:pPr>
      <w:r w:rsidRPr="00E13730">
        <w:rPr>
          <w:sz w:val="24"/>
          <w:lang w:val="et-EE"/>
        </w:rPr>
        <w:t xml:space="preserve">Muuta maailma </w:t>
      </w:r>
      <w:r w:rsidR="00057682">
        <w:rPr>
          <w:sz w:val="24"/>
          <w:lang w:val="et-EE"/>
        </w:rPr>
        <w:t xml:space="preserve">paremaks </w:t>
      </w:r>
      <w:r w:rsidRPr="00E13730">
        <w:rPr>
          <w:sz w:val="24"/>
          <w:lang w:val="et-EE"/>
        </w:rPr>
        <w:t>läbi spordi</w:t>
      </w:r>
      <w:r w:rsidR="00D06807">
        <w:rPr>
          <w:sz w:val="24"/>
          <w:lang w:val="et-EE"/>
        </w:rPr>
        <w:t xml:space="preserve"> ja spordipärandi väärtustamise</w:t>
      </w:r>
      <w:r w:rsidR="00C06BC0">
        <w:rPr>
          <w:sz w:val="24"/>
          <w:lang w:val="et-EE"/>
        </w:rPr>
        <w:t xml:space="preserve"> ühiskonnas</w:t>
      </w:r>
      <w:r w:rsidR="002B39DF">
        <w:rPr>
          <w:sz w:val="24"/>
          <w:lang w:val="et-EE"/>
        </w:rPr>
        <w:t>.</w:t>
      </w:r>
    </w:p>
    <w:p w14:paraId="243B325D" w14:textId="77777777" w:rsidR="005B1040" w:rsidRPr="008E7D07" w:rsidRDefault="005B1040" w:rsidP="005B1040">
      <w:pPr>
        <w:jc w:val="both"/>
        <w:rPr>
          <w:sz w:val="24"/>
          <w:lang w:val="et-EE"/>
        </w:rPr>
      </w:pPr>
      <w:r w:rsidRPr="008E7D07">
        <w:rPr>
          <w:sz w:val="24"/>
          <w:lang w:val="et-EE"/>
        </w:rPr>
        <w:t>SA Eesti Olümpia- ja Spordimuuseumi põhikirjaline eesmärk on Eesti ajalooga seotud kehakultuuri- ja spordialase materjali kogumine, säilitamine, uurimine ning vahendamine hariduslikel, teaduslikel ja elamuslikel eesmärkidel.</w:t>
      </w:r>
    </w:p>
    <w:p w14:paraId="0E07DCC6" w14:textId="77777777" w:rsidR="005B1040" w:rsidRDefault="005B1040" w:rsidP="005B1040">
      <w:pPr>
        <w:jc w:val="both"/>
        <w:rPr>
          <w:lang w:val="et-EE"/>
        </w:rPr>
      </w:pPr>
    </w:p>
    <w:p w14:paraId="5EAD5A3D" w14:textId="77777777" w:rsidR="005B1040" w:rsidRDefault="005B1040" w:rsidP="005B1040">
      <w:pPr>
        <w:pStyle w:val="Title"/>
        <w:rPr>
          <w:lang w:val="et-EE"/>
        </w:rPr>
      </w:pPr>
      <w:r>
        <w:rPr>
          <w:lang w:val="et-EE"/>
        </w:rPr>
        <w:t>Visioon 2022</w:t>
      </w:r>
    </w:p>
    <w:p w14:paraId="3B6BCCD9" w14:textId="77777777" w:rsidR="005B1040" w:rsidRDefault="005B1040" w:rsidP="005B1040">
      <w:pPr>
        <w:rPr>
          <w:lang w:val="et-EE"/>
        </w:rPr>
      </w:pPr>
    </w:p>
    <w:p w14:paraId="319E6FE2" w14:textId="77777777" w:rsidR="006C57F7" w:rsidRDefault="006C57F7" w:rsidP="006C57F7">
      <w:pPr>
        <w:rPr>
          <w:lang w:val="et-EE"/>
        </w:rPr>
      </w:pPr>
      <w:r>
        <w:rPr>
          <w:lang w:val="et-EE"/>
        </w:rPr>
        <w:t xml:space="preserve">Aastaks 2022 on ESOM: </w:t>
      </w:r>
    </w:p>
    <w:p w14:paraId="2636FCC8" w14:textId="57004E6C" w:rsidR="006C57F7" w:rsidRDefault="006C57F7" w:rsidP="006C57F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Euroopa kõige </w:t>
      </w:r>
      <w:r w:rsidR="000F75CC">
        <w:rPr>
          <w:lang w:val="et-EE"/>
        </w:rPr>
        <w:t>uuendusmeelseim</w:t>
      </w:r>
      <w:r>
        <w:rPr>
          <w:lang w:val="et-EE"/>
        </w:rPr>
        <w:t xml:space="preserve"> spordimuuseum</w:t>
      </w:r>
    </w:p>
    <w:p w14:paraId="268C49AB" w14:textId="3B58F6CE" w:rsidR="006C57F7" w:rsidRDefault="006C57F7" w:rsidP="006C57F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Top3 </w:t>
      </w:r>
      <w:r w:rsidR="00A016AF">
        <w:rPr>
          <w:lang w:val="et-EE"/>
        </w:rPr>
        <w:t xml:space="preserve">külastatav </w:t>
      </w:r>
      <w:r>
        <w:rPr>
          <w:lang w:val="et-EE"/>
        </w:rPr>
        <w:t xml:space="preserve">turismiatraktsioon Tartu linnas </w:t>
      </w:r>
    </w:p>
    <w:p w14:paraId="6EF2E3C2" w14:textId="77777777" w:rsidR="006C57F7" w:rsidRDefault="006C57F7" w:rsidP="006C57F7">
      <w:pPr>
        <w:pStyle w:val="ListParagraph"/>
        <w:numPr>
          <w:ilvl w:val="0"/>
          <w:numId w:val="1"/>
        </w:numPr>
        <w:rPr>
          <w:lang w:val="et-EE"/>
        </w:rPr>
      </w:pPr>
      <w:r w:rsidRPr="006C57F7">
        <w:rPr>
          <w:lang w:val="et-EE"/>
        </w:rPr>
        <w:t>Haridusmaastikul tuntud mitteformaalhariduskeskus</w:t>
      </w:r>
    </w:p>
    <w:p w14:paraId="771883FB" w14:textId="059A2C63" w:rsidR="006C57F7" w:rsidRDefault="00F51D36" w:rsidP="006C57F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Viiekordistanud</w:t>
      </w:r>
      <w:r w:rsidR="006C57F7">
        <w:rPr>
          <w:lang w:val="et-EE"/>
        </w:rPr>
        <w:t xml:space="preserve"> aastase teenitava omatulu võrr</w:t>
      </w:r>
      <w:r w:rsidR="00FB387E">
        <w:rPr>
          <w:lang w:val="et-EE"/>
        </w:rPr>
        <w:t>eldes referentsaastaga 2015</w:t>
      </w:r>
    </w:p>
    <w:p w14:paraId="028C33CA" w14:textId="04E52CD4" w:rsidR="006C57F7" w:rsidRDefault="00584B51" w:rsidP="006C57F7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Nelja</w:t>
      </w:r>
      <w:r w:rsidR="00E172F1">
        <w:rPr>
          <w:lang w:val="et-EE"/>
        </w:rPr>
        <w:t>kordistanud</w:t>
      </w:r>
      <w:r w:rsidR="006C57F7">
        <w:rPr>
          <w:lang w:val="et-EE"/>
        </w:rPr>
        <w:t xml:space="preserve"> aastase piletiga külastajate arvu</w:t>
      </w:r>
      <w:r w:rsidR="00FB387E">
        <w:rPr>
          <w:lang w:val="et-EE"/>
        </w:rPr>
        <w:t xml:space="preserve"> võrreldes referentsaastaga 2015</w:t>
      </w:r>
      <w:r w:rsidR="006C57F7" w:rsidRPr="00023442">
        <w:rPr>
          <w:lang w:val="et-EE"/>
        </w:rPr>
        <w:t xml:space="preserve"> </w:t>
      </w:r>
    </w:p>
    <w:p w14:paraId="57AB8CBF" w14:textId="0960645B" w:rsidR="00ED0F2B" w:rsidRPr="00DA4D93" w:rsidRDefault="00732E5E" w:rsidP="007D3D53">
      <w:pPr>
        <w:jc w:val="both"/>
        <w:rPr>
          <w:highlight w:val="yellow"/>
          <w:lang w:val="et-EE"/>
        </w:rPr>
      </w:pPr>
      <w:r>
        <w:rPr>
          <w:lang w:val="et-EE"/>
        </w:rPr>
        <w:br/>
        <w:t>Meetodid:</w:t>
      </w:r>
    </w:p>
    <w:p w14:paraId="6B43565A" w14:textId="58C609EA" w:rsidR="00ED0F2B" w:rsidRPr="00732E5E" w:rsidRDefault="00ED0F2B" w:rsidP="007D3D53">
      <w:pPr>
        <w:jc w:val="both"/>
        <w:rPr>
          <w:lang w:val="et-EE"/>
        </w:rPr>
      </w:pPr>
      <w:r w:rsidRPr="00732E5E">
        <w:rPr>
          <w:lang w:val="et-EE"/>
        </w:rPr>
        <w:t>Muuseumiinnovatsioon –</w:t>
      </w:r>
      <w:r w:rsidR="00732E5E">
        <w:rPr>
          <w:lang w:val="et-EE"/>
        </w:rPr>
        <w:t xml:space="preserve"> </w:t>
      </w:r>
      <w:r w:rsidRPr="00732E5E">
        <w:rPr>
          <w:lang w:val="et-EE"/>
        </w:rPr>
        <w:t>unikaalsete ja j</w:t>
      </w:r>
      <w:r w:rsidR="001C502F" w:rsidRPr="00732E5E">
        <w:rPr>
          <w:lang w:val="et-EE"/>
        </w:rPr>
        <w:t xml:space="preserve">ulgete lahenduste kasutamine </w:t>
      </w:r>
      <w:r w:rsidR="00732E5E">
        <w:rPr>
          <w:lang w:val="et-EE"/>
        </w:rPr>
        <w:t xml:space="preserve">ja katsetamine kõigis muuseumitöövaldkondades – unikaalse kontseptsiooniga </w:t>
      </w:r>
      <w:r w:rsidRPr="00732E5E">
        <w:rPr>
          <w:lang w:val="et-EE"/>
        </w:rPr>
        <w:t xml:space="preserve">näitused, </w:t>
      </w:r>
      <w:r w:rsidR="00732E5E">
        <w:rPr>
          <w:lang w:val="et-EE"/>
        </w:rPr>
        <w:t xml:space="preserve">uuenduslikud </w:t>
      </w:r>
      <w:r w:rsidR="00732E5E" w:rsidRPr="00732E5E">
        <w:rPr>
          <w:lang w:val="et-EE"/>
        </w:rPr>
        <w:t xml:space="preserve">spordipärandiprojektid </w:t>
      </w:r>
      <w:r w:rsidR="00732E5E">
        <w:rPr>
          <w:lang w:val="et-EE"/>
        </w:rPr>
        <w:t xml:space="preserve">ja kogukonna kaasamine muuseumitöösse, </w:t>
      </w:r>
      <w:r w:rsidRPr="00732E5E">
        <w:rPr>
          <w:lang w:val="et-EE"/>
        </w:rPr>
        <w:t>rahvusvahelised allhanked</w:t>
      </w:r>
      <w:r w:rsidR="00732E5E">
        <w:rPr>
          <w:lang w:val="et-EE"/>
        </w:rPr>
        <w:t xml:space="preserve"> jne.</w:t>
      </w:r>
    </w:p>
    <w:p w14:paraId="115498CF" w14:textId="3830374F" w:rsidR="00ED0F2B" w:rsidRPr="00732E5E" w:rsidRDefault="00732E5E" w:rsidP="007D3D53">
      <w:pPr>
        <w:jc w:val="both"/>
        <w:rPr>
          <w:lang w:val="et-EE"/>
        </w:rPr>
      </w:pPr>
      <w:r w:rsidRPr="00732E5E">
        <w:rPr>
          <w:lang w:val="et-EE"/>
        </w:rPr>
        <w:t>Tihe haridusprogramm</w:t>
      </w:r>
      <w:r w:rsidR="00ED0F2B" w:rsidRPr="00732E5E">
        <w:rPr>
          <w:lang w:val="et-EE"/>
        </w:rPr>
        <w:t xml:space="preserve"> – unikaalsed mitteformaalhariduse meetodid,</w:t>
      </w:r>
      <w:r w:rsidR="001C502F" w:rsidRPr="00732E5E">
        <w:rPr>
          <w:lang w:val="et-EE"/>
        </w:rPr>
        <w:t xml:space="preserve"> spordisangarite roll muuseumi </w:t>
      </w:r>
      <w:r w:rsidR="00ED0F2B" w:rsidRPr="00732E5E">
        <w:rPr>
          <w:lang w:val="et-EE"/>
        </w:rPr>
        <w:t>liikumis- ja sporditeadmiste edastamisel</w:t>
      </w:r>
      <w:r>
        <w:rPr>
          <w:lang w:val="et-EE"/>
        </w:rPr>
        <w:t>, orgaaniline seotus traditsiooniliste õppekavadega</w:t>
      </w:r>
    </w:p>
    <w:p w14:paraId="7576F611" w14:textId="0917ED2F" w:rsidR="00ED0F2B" w:rsidRDefault="00FB1220" w:rsidP="007D3D53">
      <w:pPr>
        <w:jc w:val="both"/>
        <w:rPr>
          <w:lang w:val="et-EE"/>
        </w:rPr>
      </w:pPr>
      <w:r>
        <w:rPr>
          <w:lang w:val="et-EE"/>
        </w:rPr>
        <w:t>Aktiivne</w:t>
      </w:r>
      <w:r w:rsidR="00732E5E" w:rsidRPr="00732E5E">
        <w:rPr>
          <w:lang w:val="et-EE"/>
        </w:rPr>
        <w:t xml:space="preserve"> turundus</w:t>
      </w:r>
      <w:r w:rsidR="00ED0F2B" w:rsidRPr="00732E5E">
        <w:rPr>
          <w:lang w:val="et-EE"/>
        </w:rPr>
        <w:t xml:space="preserve"> – ajaloopärandi ja haridusteabe edastamine kõigile sihtrühmadele ebatraditsioonilistel meetoditel sh geriljaturundus</w:t>
      </w:r>
      <w:r w:rsidR="00732E5E" w:rsidRPr="00732E5E">
        <w:rPr>
          <w:lang w:val="et-EE"/>
        </w:rPr>
        <w:t xml:space="preserve"> ja</w:t>
      </w:r>
      <w:r w:rsidR="00ED0F2B" w:rsidRPr="00732E5E">
        <w:rPr>
          <w:lang w:val="et-EE"/>
        </w:rPr>
        <w:t xml:space="preserve"> </w:t>
      </w:r>
      <w:r w:rsidR="00732E5E" w:rsidRPr="00732E5E">
        <w:rPr>
          <w:lang w:val="et-EE"/>
        </w:rPr>
        <w:t>aktiivne</w:t>
      </w:r>
      <w:r w:rsidR="007C51ED">
        <w:rPr>
          <w:lang w:val="et-EE"/>
        </w:rPr>
        <w:t xml:space="preserve"> </w:t>
      </w:r>
      <w:r w:rsidR="00ED0F2B" w:rsidRPr="00732E5E">
        <w:rPr>
          <w:lang w:val="et-EE"/>
        </w:rPr>
        <w:t>turunduskoostöö era- ja avaliku sektoriga</w:t>
      </w:r>
    </w:p>
    <w:p w14:paraId="759A6564" w14:textId="77777777" w:rsidR="005B1040" w:rsidRDefault="005B1040" w:rsidP="005B1040">
      <w:pPr>
        <w:pStyle w:val="Title"/>
        <w:rPr>
          <w:lang w:val="et-EE"/>
        </w:rPr>
      </w:pPr>
      <w:r>
        <w:rPr>
          <w:lang w:val="et-EE"/>
        </w:rPr>
        <w:lastRenderedPageBreak/>
        <w:t>Hetkeolukorra kirjeldus</w:t>
      </w:r>
    </w:p>
    <w:p w14:paraId="3F30AD28" w14:textId="77777777" w:rsidR="005B1040" w:rsidRDefault="005B1040" w:rsidP="005B1040">
      <w:pPr>
        <w:rPr>
          <w:lang w:val="et-EE"/>
        </w:rPr>
      </w:pPr>
    </w:p>
    <w:p w14:paraId="496FACE0" w14:textId="77777777" w:rsidR="00F44944" w:rsidRPr="00190F00" w:rsidRDefault="00F44944" w:rsidP="00F44944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 xml:space="preserve">Eesti Spordi- ja Olümpiamuuseum on Baltimaade suurim spordimuuseum. Muuseum on asutatud 1963. aastal ning kandis 2016. aasta juunini nime Eesti Spordimuuseum. Muuseum asub Tartu vanalinnas Rüütli tänaval ning muuseumil on üks filiaal – Otepää Talispordimuuseum Tehvandi spordikeskuses. </w:t>
      </w:r>
    </w:p>
    <w:p w14:paraId="5C47E2F1" w14:textId="77777777" w:rsidR="00F44944" w:rsidRPr="00190F00" w:rsidRDefault="00F44944" w:rsidP="00F44944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>Muuseumi põhikirjaliseks eesmärgiks on Eesti ajalooga seotud kehakultuuri-, spordi- ja olümpiaalase materjali kogumine, säilitamine, uurimine ning vahendamine hariduslikel, teaduslikel ja elamuslikel eesmärkidel ning olümpismi aadete ja sportlike väärtuste hoidmisele ja levitamisele kaasaaitamine.</w:t>
      </w:r>
    </w:p>
    <w:p w14:paraId="4CDA2206" w14:textId="2428C18C" w:rsidR="006C57F7" w:rsidRDefault="00F44944" w:rsidP="00F44944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>Muuseumi keskmeks on kogud, mis hõlmavad endas ligi 140 000 museaali, millest valdava enamiku moodustavad väik</w:t>
      </w:r>
      <w:r w:rsidR="00DA4D93">
        <w:rPr>
          <w:sz w:val="24"/>
          <w:lang w:val="et-EE"/>
        </w:rPr>
        <w:t>e</w:t>
      </w:r>
      <w:r w:rsidRPr="00190F00">
        <w:rPr>
          <w:sz w:val="24"/>
          <w:lang w:val="et-EE"/>
        </w:rPr>
        <w:t xml:space="preserve">semõõtmelised esemed (medalid, märgid, fotod jms). </w:t>
      </w:r>
      <w:r w:rsidR="006C57F7">
        <w:rPr>
          <w:sz w:val="24"/>
          <w:lang w:val="et-EE"/>
        </w:rPr>
        <w:t xml:space="preserve">Suure hulga kogudega seotud tööst võtab varasemalt kogutu kirjeldamine ja andmebaasidesse lisamine. </w:t>
      </w:r>
    </w:p>
    <w:p w14:paraId="67581E4A" w14:textId="2CC6A6BF" w:rsidR="00F44944" w:rsidRPr="00190F00" w:rsidRDefault="00F44944" w:rsidP="00F44944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>Muuseumi külastatavus</w:t>
      </w:r>
      <w:r w:rsidR="00732E5E">
        <w:rPr>
          <w:sz w:val="24"/>
          <w:lang w:val="et-EE"/>
        </w:rPr>
        <w:t xml:space="preserve"> ja omatulu</w:t>
      </w:r>
      <w:r w:rsidRPr="00190F00">
        <w:rPr>
          <w:sz w:val="24"/>
          <w:lang w:val="et-EE"/>
        </w:rPr>
        <w:t xml:space="preserve"> on aastaid olnud stabiilselt madal – keskmiselt </w:t>
      </w:r>
      <w:r w:rsidR="006C57F7">
        <w:rPr>
          <w:sz w:val="24"/>
          <w:lang w:val="et-EE"/>
        </w:rPr>
        <w:t xml:space="preserve">kokku </w:t>
      </w:r>
      <w:r w:rsidRPr="00190F00">
        <w:rPr>
          <w:sz w:val="24"/>
          <w:lang w:val="et-EE"/>
        </w:rPr>
        <w:t xml:space="preserve">12 000 külastajat aastas, kellest </w:t>
      </w:r>
      <w:r w:rsidR="006C57F7">
        <w:rPr>
          <w:sz w:val="24"/>
          <w:lang w:val="et-EE"/>
        </w:rPr>
        <w:t xml:space="preserve">vaid </w:t>
      </w:r>
      <w:r w:rsidRPr="00190F00">
        <w:rPr>
          <w:sz w:val="24"/>
          <w:lang w:val="et-EE"/>
        </w:rPr>
        <w:t xml:space="preserve">~5000 moodustavad piletiga külastajad. </w:t>
      </w:r>
    </w:p>
    <w:p w14:paraId="3A8EDC1E" w14:textId="77777777" w:rsidR="005B1040" w:rsidRPr="00190F00" w:rsidRDefault="00F44944" w:rsidP="008E7D07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 xml:space="preserve">2016. aastal muutus muuseum sihtasutuseks, mille asutajateks on Kultuuriministeerium ja EOK. Muuseumi nõukogus on 4 liiget – 2 EOK esindajat, Kultuuriministeeriumi ja Rahandusministeeriumi esindaja. Muuseumi juhib tegevjuhi rollis juhatuse liige. </w:t>
      </w:r>
    </w:p>
    <w:p w14:paraId="159F3F92" w14:textId="77777777" w:rsidR="005B1040" w:rsidRPr="00190F00" w:rsidRDefault="008E7D07" w:rsidP="008E7D07">
      <w:pPr>
        <w:jc w:val="both"/>
        <w:rPr>
          <w:sz w:val="24"/>
          <w:lang w:val="et-EE"/>
        </w:rPr>
      </w:pPr>
      <w:r w:rsidRPr="00190F00">
        <w:rPr>
          <w:sz w:val="24"/>
          <w:lang w:val="et-EE"/>
        </w:rPr>
        <w:t xml:space="preserve">Ümberkorraldused muuseumi struktuuris, visuaalses identiteedis, näituse- ja kommunikatsioonipõhimõtetes on pööranud külastajanumbrid tõusule, mille pealt on </w:t>
      </w:r>
      <w:r w:rsidR="006C57F7">
        <w:rPr>
          <w:sz w:val="24"/>
          <w:lang w:val="et-EE"/>
        </w:rPr>
        <w:t xml:space="preserve">võimalik kavandada märkimisväärset arengut kõigis muuseumitöö valdkondades. </w:t>
      </w:r>
    </w:p>
    <w:p w14:paraId="19568142" w14:textId="77777777" w:rsidR="005B1040" w:rsidRPr="00190F00" w:rsidRDefault="005B1040" w:rsidP="005B1040">
      <w:pPr>
        <w:rPr>
          <w:sz w:val="24"/>
          <w:lang w:val="et-EE"/>
        </w:rPr>
      </w:pPr>
    </w:p>
    <w:p w14:paraId="26A983D1" w14:textId="77777777" w:rsidR="00F24455" w:rsidRDefault="00F24455">
      <w:pPr>
        <w:rPr>
          <w:rFonts w:asciiTheme="majorHAnsi" w:eastAsiaTheme="majorEastAsia" w:hAnsiTheme="majorHAnsi" w:cstheme="majorBidi"/>
          <w:caps/>
          <w:color w:val="44546A" w:themeColor="text2"/>
          <w:spacing w:val="-15"/>
          <w:sz w:val="72"/>
          <w:szCs w:val="72"/>
          <w:lang w:val="et-EE"/>
        </w:rPr>
      </w:pPr>
      <w:r>
        <w:rPr>
          <w:lang w:val="et-EE"/>
        </w:rPr>
        <w:br w:type="page"/>
      </w:r>
    </w:p>
    <w:p w14:paraId="7F614D98" w14:textId="77777777" w:rsidR="00814F20" w:rsidRDefault="00814F20" w:rsidP="00814F20">
      <w:pPr>
        <w:pStyle w:val="Title"/>
        <w:rPr>
          <w:lang w:val="et-EE"/>
        </w:rPr>
      </w:pPr>
      <w:r>
        <w:rPr>
          <w:lang w:val="et-EE"/>
        </w:rPr>
        <w:lastRenderedPageBreak/>
        <w:t>Tegevuseesmärgid</w:t>
      </w:r>
    </w:p>
    <w:p w14:paraId="52EAAD9D" w14:textId="77777777" w:rsidR="00814F20" w:rsidRDefault="00814F20" w:rsidP="00814F20">
      <w:pPr>
        <w:rPr>
          <w:lang w:val="et-EE"/>
        </w:rPr>
      </w:pPr>
    </w:p>
    <w:p w14:paraId="1013415F" w14:textId="77777777" w:rsidR="00814F20" w:rsidRPr="00EE2548" w:rsidRDefault="00011928" w:rsidP="00011928">
      <w:pPr>
        <w:pStyle w:val="Heading2"/>
        <w:rPr>
          <w:sz w:val="48"/>
          <w:u w:val="single"/>
          <w:lang w:val="et-EE"/>
        </w:rPr>
      </w:pPr>
      <w:r w:rsidRPr="00EE2548">
        <w:rPr>
          <w:sz w:val="48"/>
          <w:u w:val="single"/>
          <w:lang w:val="et-EE"/>
        </w:rPr>
        <w:t>Spordipärand</w:t>
      </w:r>
      <w:r w:rsidR="00746669">
        <w:rPr>
          <w:sz w:val="48"/>
          <w:u w:val="single"/>
          <w:lang w:val="et-EE"/>
        </w:rPr>
        <w:br/>
      </w:r>
    </w:p>
    <w:p w14:paraId="4DBF8B1D" w14:textId="1FC0358D" w:rsidR="00CF0A95" w:rsidRDefault="00824263" w:rsidP="00814F20">
      <w:pPr>
        <w:rPr>
          <w:lang w:val="et-EE"/>
        </w:rPr>
      </w:pPr>
      <w:r>
        <w:rPr>
          <w:lang w:val="et-EE"/>
        </w:rPr>
        <w:t>E</w:t>
      </w:r>
      <w:r w:rsidR="00CF0A95">
        <w:rPr>
          <w:lang w:val="et-EE"/>
        </w:rPr>
        <w:t xml:space="preserve">esmärk </w:t>
      </w:r>
      <w:r>
        <w:rPr>
          <w:lang w:val="et-EE"/>
        </w:rPr>
        <w:t xml:space="preserve">I </w:t>
      </w:r>
      <w:r w:rsidR="00CF0A95">
        <w:rPr>
          <w:lang w:val="et-EE"/>
        </w:rPr>
        <w:t xml:space="preserve">– </w:t>
      </w:r>
      <w:r>
        <w:rPr>
          <w:lang w:val="et-EE"/>
        </w:rPr>
        <w:t xml:space="preserve">Eesti Spordi- ja Olümpiamuuseumi </w:t>
      </w:r>
      <w:r w:rsidR="00CF0A95">
        <w:rPr>
          <w:lang w:val="et-EE"/>
        </w:rPr>
        <w:t xml:space="preserve">kogud on </w:t>
      </w:r>
      <w:r w:rsidR="00B47DA7">
        <w:rPr>
          <w:lang w:val="et-EE"/>
        </w:rPr>
        <w:t xml:space="preserve">tervikuna </w:t>
      </w:r>
      <w:r w:rsidR="00CF0A95">
        <w:rPr>
          <w:lang w:val="et-EE"/>
        </w:rPr>
        <w:t>avalikkusele kättesaadavad</w:t>
      </w:r>
      <w:r w:rsidR="00B47DA7">
        <w:rPr>
          <w:lang w:val="et-EE"/>
        </w:rPr>
        <w:t xml:space="preserve"> nii füüsiliselt kui digitaalselt</w:t>
      </w:r>
      <w:r w:rsidR="00746669">
        <w:rPr>
          <w:lang w:val="et-EE"/>
        </w:rPr>
        <w:br/>
      </w:r>
      <w:r w:rsidR="00CF0A95">
        <w:rPr>
          <w:lang w:val="et-EE"/>
        </w:rPr>
        <w:t>Eesmärk</w:t>
      </w:r>
      <w:r>
        <w:rPr>
          <w:lang w:val="et-EE"/>
        </w:rPr>
        <w:t xml:space="preserve"> II </w:t>
      </w:r>
      <w:r w:rsidR="00CF0A95">
        <w:rPr>
          <w:lang w:val="et-EE"/>
        </w:rPr>
        <w:t xml:space="preserve">– </w:t>
      </w:r>
      <w:r>
        <w:rPr>
          <w:lang w:val="et-EE"/>
        </w:rPr>
        <w:t xml:space="preserve">Valminud on esmakordne </w:t>
      </w:r>
      <w:r w:rsidR="00CF0A95">
        <w:rPr>
          <w:lang w:val="et-EE"/>
        </w:rPr>
        <w:t>Eesti spordiajaloo akadeemiline käsitlus</w:t>
      </w:r>
      <w:r w:rsidR="00746669">
        <w:rPr>
          <w:lang w:val="et-EE"/>
        </w:rPr>
        <w:br/>
      </w:r>
      <w:r w:rsidR="00CF0A95">
        <w:rPr>
          <w:lang w:val="et-EE"/>
        </w:rPr>
        <w:t xml:space="preserve">Eesmärk </w:t>
      </w:r>
      <w:r>
        <w:rPr>
          <w:lang w:val="et-EE"/>
        </w:rPr>
        <w:t xml:space="preserve">III </w:t>
      </w:r>
      <w:r w:rsidR="00CF0A95">
        <w:rPr>
          <w:lang w:val="et-EE"/>
        </w:rPr>
        <w:t xml:space="preserve">– </w:t>
      </w:r>
      <w:r>
        <w:rPr>
          <w:lang w:val="et-EE"/>
        </w:rPr>
        <w:t>M</w:t>
      </w:r>
      <w:r w:rsidR="00CF0A95">
        <w:rPr>
          <w:lang w:val="et-EE"/>
        </w:rPr>
        <w:t xml:space="preserve">uuseumi spordi- ja digikogu </w:t>
      </w:r>
      <w:r>
        <w:rPr>
          <w:lang w:val="et-EE"/>
        </w:rPr>
        <w:t>on kaasaegselt välja arendatud</w:t>
      </w:r>
    </w:p>
    <w:p w14:paraId="4848BAD1" w14:textId="77777777" w:rsidR="00746669" w:rsidRDefault="00746669" w:rsidP="00746669">
      <w:pPr>
        <w:pStyle w:val="Heading4"/>
        <w:rPr>
          <w:sz w:val="28"/>
          <w:lang w:val="et-EE"/>
        </w:rPr>
      </w:pPr>
    </w:p>
    <w:p w14:paraId="2933B141" w14:textId="6946093E" w:rsidR="00746669" w:rsidRDefault="0047645D" w:rsidP="00746669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46669" w:rsidRPr="00EE2548">
        <w:rPr>
          <w:sz w:val="28"/>
          <w:lang w:val="et-EE"/>
        </w:rPr>
        <w:t xml:space="preserve">: Kogude </w:t>
      </w:r>
      <w:r w:rsidR="00746669">
        <w:rPr>
          <w:sz w:val="28"/>
          <w:lang w:val="et-EE"/>
        </w:rPr>
        <w:t>täiendamine</w:t>
      </w:r>
    </w:p>
    <w:p w14:paraId="3F23CF79" w14:textId="77777777" w:rsidR="00746669" w:rsidRPr="00746669" w:rsidRDefault="00EE2548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 xml:space="preserve">Kogumispõhimõtete </w:t>
      </w:r>
      <w:r w:rsidR="00C27EC7">
        <w:rPr>
          <w:lang w:val="et-EE"/>
        </w:rPr>
        <w:t xml:space="preserve">ja kogumistegevuskava </w:t>
      </w:r>
      <w:r w:rsidRPr="00746669">
        <w:rPr>
          <w:lang w:val="et-EE"/>
        </w:rPr>
        <w:t>uuendamise järel toimub aktiivne kogumine, eelkõige spordikogu ja digikogu täiendamise kaudu</w:t>
      </w:r>
    </w:p>
    <w:p w14:paraId="5BDB2C06" w14:textId="77777777" w:rsidR="00EE2548" w:rsidRDefault="00EE2548" w:rsidP="00EE2548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Kogude andmebaasidesse lisamise, kirjeldamise ja digikujutiste loomise kiirendamiseks on kasutusse võetud innovaatilised tehnilised rakendused ja kogukondlikud võimalu</w:t>
      </w:r>
      <w:r w:rsidR="00746669">
        <w:rPr>
          <w:lang w:val="et-EE"/>
        </w:rPr>
        <w:t>sed (koostöö spordiajaloolaste ja vabatahtlikega</w:t>
      </w:r>
      <w:r>
        <w:rPr>
          <w:lang w:val="et-EE"/>
        </w:rPr>
        <w:t>)</w:t>
      </w:r>
    </w:p>
    <w:p w14:paraId="0234BE92" w14:textId="58EB0628" w:rsidR="00EE2548" w:rsidRDefault="00EE2548" w:rsidP="00EE2548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 nõustab metoodiliselt spordipärandi talletamise ja säilitamise osas teisi spordimuuseum</w:t>
      </w:r>
      <w:r w:rsidR="00DF69D5">
        <w:rPr>
          <w:lang w:val="et-EE"/>
        </w:rPr>
        <w:t>e</w:t>
      </w:r>
      <w:r>
        <w:rPr>
          <w:lang w:val="et-EE"/>
        </w:rPr>
        <w:t xml:space="preserve"> nii siseriiklikult kui rahvusvaheliselt ning spordialaliite, sportlasi ja spordiorganisatsioone</w:t>
      </w:r>
    </w:p>
    <w:p w14:paraId="3C7F9917" w14:textId="77777777" w:rsidR="00EE2548" w:rsidRPr="00EE2548" w:rsidRDefault="00EE2548" w:rsidP="00EE2548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 kasutab sotsiaalmeedia ja kodulehekülje võimalusi aktiivseks kogumiseks (top 10 rariteeti, võimalus oma sporditee kirja panna jne. )</w:t>
      </w:r>
    </w:p>
    <w:p w14:paraId="0620EE17" w14:textId="51EE8620" w:rsidR="00011928" w:rsidRDefault="0047645D" w:rsidP="00CF0A95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EE2548" w:rsidRPr="00EE2548">
        <w:rPr>
          <w:sz w:val="28"/>
          <w:lang w:val="et-EE"/>
        </w:rPr>
        <w:t xml:space="preserve">: </w:t>
      </w:r>
      <w:r w:rsidR="00011928" w:rsidRPr="00EE2548">
        <w:rPr>
          <w:sz w:val="28"/>
          <w:lang w:val="et-EE"/>
        </w:rPr>
        <w:t>Kogude vahendamine</w:t>
      </w:r>
    </w:p>
    <w:p w14:paraId="385A8D98" w14:textId="46382BFD" w:rsidR="00EE2548" w:rsidRDefault="00EE2548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Aasta</w:t>
      </w:r>
      <w:r w:rsidR="006A3F56">
        <w:rPr>
          <w:lang w:val="et-EE"/>
        </w:rPr>
        <w:t>l</w:t>
      </w:r>
      <w:r>
        <w:rPr>
          <w:lang w:val="et-EE"/>
        </w:rPr>
        <w:t xml:space="preserve"> 2018 on andmebaasis MUIS lõpule viidud kõigi museaalide digikujutiste lisamine </w:t>
      </w:r>
    </w:p>
    <w:p w14:paraId="04F6E4A0" w14:textId="0BF55CBC" w:rsidR="00EE2548" w:rsidRDefault="00EE2548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Hiljemalt aasta</w:t>
      </w:r>
      <w:r w:rsidR="001E0350">
        <w:rPr>
          <w:lang w:val="et-EE"/>
        </w:rPr>
        <w:t>l</w:t>
      </w:r>
      <w:r>
        <w:rPr>
          <w:lang w:val="et-EE"/>
        </w:rPr>
        <w:t xml:space="preserve"> 2020 on andmebaasis MUIS lõpule viidud kõigi kogutud museaalide kirjelduste lisamise esimene etapp</w:t>
      </w:r>
    </w:p>
    <w:p w14:paraId="0EAD90E4" w14:textId="77777777" w:rsidR="00746669" w:rsidRDefault="00EE2548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Muuseum vahendab regulaarselt kogutud museaalide lugusid</w:t>
      </w:r>
      <w:r w:rsidR="00746669">
        <w:rPr>
          <w:lang w:val="et-EE"/>
        </w:rPr>
        <w:t xml:space="preserve"> läbi spordimeediaväljaannete, erasektori koostööpartnerite väljaannete ja enda ruumides toimuvate ja tellimusnäituste</w:t>
      </w:r>
    </w:p>
    <w:p w14:paraId="339C283C" w14:textId="76FE451B" w:rsidR="005359F4" w:rsidRPr="00746669" w:rsidRDefault="0047645D" w:rsidP="00CF0A95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EE2548" w:rsidRPr="00746669">
        <w:rPr>
          <w:sz w:val="28"/>
          <w:lang w:val="et-EE"/>
        </w:rPr>
        <w:t xml:space="preserve">: </w:t>
      </w:r>
      <w:r w:rsidR="00746669">
        <w:rPr>
          <w:sz w:val="28"/>
          <w:lang w:val="et-EE"/>
        </w:rPr>
        <w:t>S</w:t>
      </w:r>
      <w:r w:rsidR="00CF0A95" w:rsidRPr="00746669">
        <w:rPr>
          <w:sz w:val="28"/>
          <w:lang w:val="et-EE"/>
        </w:rPr>
        <w:t>pordipärandiprojektid</w:t>
      </w:r>
    </w:p>
    <w:p w14:paraId="08C0627D" w14:textId="0CBBDC3E" w:rsidR="00746669" w:rsidRDefault="00CF0A95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 xml:space="preserve">Eesti akadeemilise spordiajaloo avaldamine </w:t>
      </w:r>
      <w:r w:rsidR="00746669" w:rsidRPr="00746669">
        <w:rPr>
          <w:lang w:val="et-EE"/>
        </w:rPr>
        <w:t xml:space="preserve">2018. aasta </w:t>
      </w:r>
      <w:r w:rsidR="00746669">
        <w:rPr>
          <w:lang w:val="et-EE"/>
        </w:rPr>
        <w:t>detsembris</w:t>
      </w:r>
    </w:p>
    <w:p w14:paraId="578EFCF9" w14:textId="37D6CF48" w:rsidR="00746669" w:rsidRDefault="00CF0A95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 xml:space="preserve">Vabatahtlike programmi loomine </w:t>
      </w:r>
      <w:r w:rsidR="00D42A81" w:rsidRPr="00746669">
        <w:rPr>
          <w:lang w:val="et-EE"/>
        </w:rPr>
        <w:t xml:space="preserve">kogude kirjeldamiseks </w:t>
      </w:r>
      <w:r w:rsidR="001E0350">
        <w:rPr>
          <w:lang w:val="et-EE"/>
        </w:rPr>
        <w:t>2018</w:t>
      </w:r>
      <w:r w:rsidR="008C396B">
        <w:rPr>
          <w:lang w:val="et-EE"/>
        </w:rPr>
        <w:t>. aastal</w:t>
      </w:r>
    </w:p>
    <w:p w14:paraId="238BB2B4" w14:textId="77777777" w:rsidR="00746669" w:rsidRPr="00746669" w:rsidRDefault="00CF0A95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>Kogumisprojekt Eesti 100</w:t>
      </w:r>
      <w:r w:rsidR="00D42A81" w:rsidRPr="00746669">
        <w:rPr>
          <w:lang w:val="et-EE"/>
        </w:rPr>
        <w:t xml:space="preserve"> -  tühimike täitmine </w:t>
      </w:r>
      <w:r w:rsidR="00746669" w:rsidRPr="00746669">
        <w:rPr>
          <w:lang w:val="et-EE"/>
        </w:rPr>
        <w:t>spordikogus</w:t>
      </w:r>
      <w:r w:rsidR="00D42A81" w:rsidRPr="00746669">
        <w:rPr>
          <w:lang w:val="et-EE"/>
        </w:rPr>
        <w:t xml:space="preserve"> kootöös spordialaliitudega</w:t>
      </w:r>
    </w:p>
    <w:p w14:paraId="4153597D" w14:textId="77777777" w:rsidR="00746669" w:rsidRDefault="00CF0A95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>Spordimälu p</w:t>
      </w:r>
      <w:r w:rsidR="00746669">
        <w:rPr>
          <w:lang w:val="et-EE"/>
        </w:rPr>
        <w:t xml:space="preserve">rojekt </w:t>
      </w:r>
      <w:r w:rsidR="008C396B">
        <w:rPr>
          <w:lang w:val="et-EE"/>
        </w:rPr>
        <w:t xml:space="preserve">Eesti 100 </w:t>
      </w:r>
      <w:r w:rsidR="00746669">
        <w:rPr>
          <w:lang w:val="et-EE"/>
        </w:rPr>
        <w:t>– mälestuste salvestamise kogumiskampaania</w:t>
      </w:r>
      <w:r w:rsidRPr="00746669">
        <w:rPr>
          <w:lang w:val="et-EE"/>
        </w:rPr>
        <w:t xml:space="preserve"> </w:t>
      </w:r>
    </w:p>
    <w:p w14:paraId="359CEFCB" w14:textId="5406AB5A" w:rsidR="00746669" w:rsidRPr="00746669" w:rsidRDefault="00D42A81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 w:rsidRPr="00746669">
        <w:rPr>
          <w:lang w:val="et-EE"/>
        </w:rPr>
        <w:t>Spordifoto – Gunnar Vaidla negatiivi</w:t>
      </w:r>
      <w:r w:rsidR="00B47DA7">
        <w:rPr>
          <w:lang w:val="et-EE"/>
        </w:rPr>
        <w:t>massiivi</w:t>
      </w:r>
      <w:r w:rsidRPr="00746669">
        <w:rPr>
          <w:lang w:val="et-EE"/>
        </w:rPr>
        <w:t xml:space="preserve"> süstematiseerimine ja valikuline digiteerimine</w:t>
      </w:r>
      <w:r w:rsidR="008C396B">
        <w:rPr>
          <w:lang w:val="et-EE"/>
        </w:rPr>
        <w:t xml:space="preserve"> 201</w:t>
      </w:r>
      <w:r w:rsidR="001E0350">
        <w:rPr>
          <w:lang w:val="et-EE"/>
        </w:rPr>
        <w:t>8</w:t>
      </w:r>
      <w:r w:rsidR="008C396B">
        <w:rPr>
          <w:lang w:val="et-EE"/>
        </w:rPr>
        <w:t>-2022</w:t>
      </w:r>
    </w:p>
    <w:p w14:paraId="60A8215A" w14:textId="77777777" w:rsidR="00CF0A95" w:rsidRPr="00746669" w:rsidRDefault="00746669" w:rsidP="00746669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2020. aasta suurprojekt </w:t>
      </w:r>
      <w:r w:rsidR="00CF0A95" w:rsidRPr="00746669">
        <w:rPr>
          <w:lang w:val="et-EE"/>
        </w:rPr>
        <w:t>Tallinn 1980</w:t>
      </w:r>
      <w:r w:rsidR="00D42A81" w:rsidRPr="00746669">
        <w:rPr>
          <w:lang w:val="et-EE"/>
        </w:rPr>
        <w:t xml:space="preserve"> </w:t>
      </w:r>
      <w:r w:rsidR="00F67F44" w:rsidRPr="00746669">
        <w:rPr>
          <w:lang w:val="et-EE"/>
        </w:rPr>
        <w:t>–</w:t>
      </w:r>
      <w:r w:rsidR="00D42A81" w:rsidRPr="00746669">
        <w:rPr>
          <w:lang w:val="et-EE"/>
        </w:rPr>
        <w:t xml:space="preserve"> </w:t>
      </w:r>
      <w:r w:rsidR="00F67F44" w:rsidRPr="00746669">
        <w:rPr>
          <w:lang w:val="et-EE"/>
        </w:rPr>
        <w:t>rahvusvaheline kataloog jne.</w:t>
      </w:r>
    </w:p>
    <w:p w14:paraId="2D145509" w14:textId="77777777" w:rsidR="00CF0A95" w:rsidRDefault="00CF0A95" w:rsidP="00CF0A95">
      <w:pPr>
        <w:rPr>
          <w:lang w:val="et-EE"/>
        </w:rPr>
      </w:pPr>
    </w:p>
    <w:p w14:paraId="000EFDDC" w14:textId="77777777" w:rsidR="003456D5" w:rsidRPr="00EE2548" w:rsidRDefault="003456D5" w:rsidP="003456D5">
      <w:pPr>
        <w:pStyle w:val="Heading2"/>
        <w:rPr>
          <w:sz w:val="48"/>
          <w:u w:val="single"/>
          <w:lang w:val="et-EE"/>
        </w:rPr>
      </w:pPr>
      <w:r>
        <w:rPr>
          <w:sz w:val="48"/>
          <w:u w:val="single"/>
          <w:lang w:val="et-EE"/>
        </w:rPr>
        <w:lastRenderedPageBreak/>
        <w:t>Haridus</w:t>
      </w:r>
      <w:r>
        <w:rPr>
          <w:sz w:val="48"/>
          <w:u w:val="single"/>
          <w:lang w:val="et-EE"/>
        </w:rPr>
        <w:br/>
      </w:r>
    </w:p>
    <w:p w14:paraId="5A2D8E41" w14:textId="77777777" w:rsidR="003456D5" w:rsidRDefault="003456D5" w:rsidP="003456D5">
      <w:pPr>
        <w:rPr>
          <w:lang w:val="et-EE"/>
        </w:rPr>
      </w:pPr>
      <w:r>
        <w:rPr>
          <w:lang w:val="et-EE"/>
        </w:rPr>
        <w:t>Eesmärk I – Eesti Spordi- ja Olümpiamuuseum</w:t>
      </w:r>
      <w:r w:rsidR="00660A5A">
        <w:rPr>
          <w:lang w:val="et-EE"/>
        </w:rPr>
        <w:t xml:space="preserve"> on </w:t>
      </w:r>
      <w:r w:rsidR="003050A5">
        <w:rPr>
          <w:lang w:val="et-EE"/>
        </w:rPr>
        <w:t>üle-eestiliselt</w:t>
      </w:r>
      <w:r w:rsidR="00660A5A">
        <w:rPr>
          <w:lang w:val="et-EE"/>
        </w:rPr>
        <w:t xml:space="preserve"> tuntud mitteformaalhariduskeskus</w:t>
      </w:r>
      <w:r>
        <w:rPr>
          <w:lang w:val="et-EE"/>
        </w:rPr>
        <w:br/>
        <w:t xml:space="preserve">Eesmärk II – </w:t>
      </w:r>
      <w:r w:rsidR="00660A5A">
        <w:rPr>
          <w:lang w:val="et-EE"/>
        </w:rPr>
        <w:t>Aastaring</w:t>
      </w:r>
      <w:r w:rsidR="00AC70C7">
        <w:rPr>
          <w:lang w:val="et-EE"/>
        </w:rPr>
        <w:t>s</w:t>
      </w:r>
      <w:r w:rsidR="00660A5A">
        <w:rPr>
          <w:lang w:val="et-EE"/>
        </w:rPr>
        <w:t>e hariduskalendri formaa</w:t>
      </w:r>
      <w:r w:rsidR="003050A5">
        <w:rPr>
          <w:lang w:val="et-EE"/>
        </w:rPr>
        <w:t>t</w:t>
      </w:r>
      <w:r w:rsidR="00660A5A">
        <w:rPr>
          <w:lang w:val="et-EE"/>
        </w:rPr>
        <w:t xml:space="preserve"> </w:t>
      </w:r>
      <w:r w:rsidR="003050A5">
        <w:rPr>
          <w:lang w:val="et-EE"/>
        </w:rPr>
        <w:t xml:space="preserve">on </w:t>
      </w:r>
      <w:r w:rsidR="00660A5A">
        <w:rPr>
          <w:lang w:val="et-EE"/>
        </w:rPr>
        <w:t>välja</w:t>
      </w:r>
      <w:r w:rsidR="003050A5">
        <w:rPr>
          <w:lang w:val="et-EE"/>
        </w:rPr>
        <w:t xml:space="preserve"> </w:t>
      </w:r>
      <w:r w:rsidR="00660A5A">
        <w:rPr>
          <w:lang w:val="et-EE"/>
        </w:rPr>
        <w:t>tööta</w:t>
      </w:r>
      <w:r w:rsidR="003050A5">
        <w:rPr>
          <w:lang w:val="et-EE"/>
        </w:rPr>
        <w:t>tud</w:t>
      </w:r>
      <w:r w:rsidR="00660A5A">
        <w:rPr>
          <w:lang w:val="et-EE"/>
        </w:rPr>
        <w:t xml:space="preserve"> ja </w:t>
      </w:r>
      <w:r w:rsidR="003050A5">
        <w:rPr>
          <w:lang w:val="et-EE"/>
        </w:rPr>
        <w:t xml:space="preserve">edukalt </w:t>
      </w:r>
      <w:r w:rsidR="00660A5A">
        <w:rPr>
          <w:lang w:val="et-EE"/>
        </w:rPr>
        <w:t>rakend</w:t>
      </w:r>
      <w:r w:rsidR="003050A5">
        <w:rPr>
          <w:lang w:val="et-EE"/>
        </w:rPr>
        <w:t>unud</w:t>
      </w:r>
      <w:r>
        <w:rPr>
          <w:lang w:val="et-EE"/>
        </w:rPr>
        <w:br/>
        <w:t xml:space="preserve">Eesmärk III – </w:t>
      </w:r>
      <w:r w:rsidR="00660A5A">
        <w:rPr>
          <w:lang w:val="et-EE"/>
        </w:rPr>
        <w:t>Muuseum</w:t>
      </w:r>
      <w:r w:rsidR="003050A5">
        <w:rPr>
          <w:lang w:val="et-EE"/>
        </w:rPr>
        <w:t>ist on kujunenud</w:t>
      </w:r>
      <w:r w:rsidR="00660A5A">
        <w:rPr>
          <w:lang w:val="et-EE"/>
        </w:rPr>
        <w:t xml:space="preserve"> mitmekülgne kompetentsi- ja koolituskeskus</w:t>
      </w:r>
    </w:p>
    <w:p w14:paraId="20B72956" w14:textId="77777777" w:rsidR="003456D5" w:rsidRDefault="003456D5" w:rsidP="00CF0A95">
      <w:pPr>
        <w:rPr>
          <w:lang w:val="et-EE"/>
        </w:rPr>
      </w:pPr>
    </w:p>
    <w:p w14:paraId="2DB98190" w14:textId="17CA22CA" w:rsidR="00660A5A" w:rsidRDefault="0047645D" w:rsidP="00660A5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660A5A" w:rsidRPr="00EE2548">
        <w:rPr>
          <w:sz w:val="28"/>
          <w:lang w:val="et-EE"/>
        </w:rPr>
        <w:t xml:space="preserve">: </w:t>
      </w:r>
      <w:r w:rsidR="00BB6A42">
        <w:rPr>
          <w:sz w:val="28"/>
          <w:lang w:val="et-EE"/>
        </w:rPr>
        <w:t>Koolid- ja lasteaiad</w:t>
      </w:r>
    </w:p>
    <w:p w14:paraId="40AC496E" w14:textId="50A215BE" w:rsidR="00BB6A42" w:rsidRDefault="00E31280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Toimib a</w:t>
      </w:r>
      <w:r w:rsidR="00AC70C7">
        <w:rPr>
          <w:lang w:val="et-EE"/>
        </w:rPr>
        <w:t>astaringse h</w:t>
      </w:r>
      <w:r w:rsidR="00BB6A42" w:rsidRPr="00AC70C7">
        <w:rPr>
          <w:lang w:val="et-EE"/>
        </w:rPr>
        <w:t>ariduskalendri formaa</w:t>
      </w:r>
      <w:r>
        <w:rPr>
          <w:lang w:val="et-EE"/>
        </w:rPr>
        <w:t>t</w:t>
      </w:r>
      <w:r w:rsidR="00AC70C7">
        <w:rPr>
          <w:lang w:val="et-EE"/>
        </w:rPr>
        <w:t xml:space="preserve"> ning</w:t>
      </w:r>
      <w:r>
        <w:rPr>
          <w:lang w:val="et-EE"/>
        </w:rPr>
        <w:t xml:space="preserve"> selle</w:t>
      </w:r>
      <w:r w:rsidR="00AC70C7">
        <w:rPr>
          <w:lang w:val="et-EE"/>
        </w:rPr>
        <w:t xml:space="preserve"> järjepidev kommunikeerimine haridusasutustele </w:t>
      </w:r>
    </w:p>
    <w:p w14:paraId="2C89CBD1" w14:textId="3CBC6228" w:rsid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Haridusprogrammid</w:t>
      </w:r>
      <w:r w:rsidR="00E31280">
        <w:rPr>
          <w:lang w:val="et-EE"/>
        </w:rPr>
        <w:t xml:space="preserve"> on seotud</w:t>
      </w:r>
      <w:r>
        <w:rPr>
          <w:lang w:val="et-EE"/>
        </w:rPr>
        <w:t xml:space="preserve"> koolide õppetegev</w:t>
      </w:r>
      <w:r w:rsidR="00DA4D93">
        <w:rPr>
          <w:lang w:val="et-EE"/>
        </w:rPr>
        <w:t>use ja õppekavadega, sh. lisaks ajaloole</w:t>
      </w:r>
      <w:r w:rsidR="007A5A90">
        <w:rPr>
          <w:lang w:val="et-EE"/>
        </w:rPr>
        <w:t xml:space="preserve"> ja liikumisõppele</w:t>
      </w:r>
      <w:r w:rsidR="00DA4D93">
        <w:rPr>
          <w:lang w:val="et-EE"/>
        </w:rPr>
        <w:t xml:space="preserve"> ka matemaatika, füüsika jt. </w:t>
      </w:r>
      <w:r w:rsidR="007A5A90">
        <w:rPr>
          <w:lang w:val="et-EE"/>
        </w:rPr>
        <w:t>ainekavadega</w:t>
      </w:r>
    </w:p>
    <w:p w14:paraId="3D5CD603" w14:textId="77777777" w:rsid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 pakub innovaatilisi haridusprogramme, mis kasutavad interaktiivseid tehnilisi lahendusi, tegevsportlaste eeskuju ja uuenduslikke õppemeetodeid hariduse edastamiseks</w:t>
      </w:r>
    </w:p>
    <w:p w14:paraId="2D8AF6B3" w14:textId="77777777" w:rsidR="00AC70C7" w:rsidRP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Spordimuuseumi hariv ja meeleolukas jõuluprogramm on tuntuim jõuluprogramm Tartu linnas</w:t>
      </w:r>
    </w:p>
    <w:p w14:paraId="4727010D" w14:textId="77777777" w:rsidR="00AC70C7" w:rsidRDefault="00AC70C7" w:rsidP="00660A5A">
      <w:pPr>
        <w:pStyle w:val="Heading4"/>
        <w:rPr>
          <w:sz w:val="28"/>
          <w:lang w:val="et-EE"/>
        </w:rPr>
      </w:pPr>
    </w:p>
    <w:p w14:paraId="3E602943" w14:textId="24B2CDB4" w:rsidR="00660A5A" w:rsidRDefault="0047645D" w:rsidP="00660A5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660A5A" w:rsidRPr="00EE2548">
        <w:rPr>
          <w:sz w:val="28"/>
          <w:lang w:val="et-EE"/>
        </w:rPr>
        <w:t xml:space="preserve">: </w:t>
      </w:r>
      <w:r w:rsidR="00BB6A42">
        <w:rPr>
          <w:sz w:val="28"/>
          <w:lang w:val="et-EE"/>
        </w:rPr>
        <w:t>Teised sihtrühmad</w:t>
      </w:r>
    </w:p>
    <w:p w14:paraId="0A1BCB81" w14:textId="77777777" w:rsid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Aastaringse h</w:t>
      </w:r>
      <w:r w:rsidRPr="00AC70C7">
        <w:rPr>
          <w:lang w:val="et-EE"/>
        </w:rPr>
        <w:t>ariduskalendri formaa</w:t>
      </w:r>
      <w:r>
        <w:rPr>
          <w:lang w:val="et-EE"/>
        </w:rPr>
        <w:t>di väljatöötamine ning järjepidev kommunikeerimine eraisikutele</w:t>
      </w:r>
    </w:p>
    <w:p w14:paraId="675AD75F" w14:textId="77777777" w:rsid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Muuseum pakub tegevusrohkeid laupäevaprogramme, mis ühendavad endas juhitud ekskursioonid, </w:t>
      </w:r>
      <w:r w:rsidR="00E53C57">
        <w:rPr>
          <w:lang w:val="et-EE"/>
        </w:rPr>
        <w:t xml:space="preserve">spordi- ja terviseteemalised </w:t>
      </w:r>
      <w:r>
        <w:rPr>
          <w:lang w:val="et-EE"/>
        </w:rPr>
        <w:t>töötoad, tippsportlastega kohtumised ja teised võimalused</w:t>
      </w:r>
    </w:p>
    <w:p w14:paraId="23054A9B" w14:textId="77777777" w:rsidR="00AC70C7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Spordimuuseumis leidub aktiivset ja korraldatud tegevust kõigil koolivaheaegadel sh. erikampaaniad, linnalaagrid jms. </w:t>
      </w:r>
    </w:p>
    <w:p w14:paraId="1D0BCFC9" w14:textId="77777777" w:rsidR="0043684D" w:rsidRDefault="00AC70C7" w:rsidP="00AC70C7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Spordimuuseumi sünnipäevaprogrammid on hariva ja liikumisrohke sünnipäeva etalonina Tartu populaarseimate hulgas</w:t>
      </w:r>
    </w:p>
    <w:p w14:paraId="692F23B0" w14:textId="77777777" w:rsidR="00660A5A" w:rsidRDefault="00660A5A" w:rsidP="00CF0A95">
      <w:pPr>
        <w:rPr>
          <w:lang w:val="et-EE"/>
        </w:rPr>
      </w:pPr>
    </w:p>
    <w:p w14:paraId="507916B1" w14:textId="23CF854F" w:rsidR="00660A5A" w:rsidRDefault="0047645D" w:rsidP="00660A5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660A5A" w:rsidRPr="00EE2548">
        <w:rPr>
          <w:sz w:val="28"/>
          <w:lang w:val="et-EE"/>
        </w:rPr>
        <w:t xml:space="preserve">: </w:t>
      </w:r>
      <w:r w:rsidR="00660A5A">
        <w:rPr>
          <w:sz w:val="28"/>
          <w:lang w:val="et-EE"/>
        </w:rPr>
        <w:t>Kompetentsi- ja koolituskeskus</w:t>
      </w:r>
    </w:p>
    <w:p w14:paraId="50685286" w14:textId="77777777" w:rsidR="00660A5A" w:rsidRDefault="00E53C57" w:rsidP="00E53C57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Spordimuuseum pakub ruume aktsepteeritavatele koostööpartneritele koolitus- ja muude hariduslike ürituste elluviimiseks</w:t>
      </w:r>
    </w:p>
    <w:p w14:paraId="3180EE16" w14:textId="77777777" w:rsidR="0043684D" w:rsidRDefault="0043684D" w:rsidP="00CF0A95">
      <w:pPr>
        <w:rPr>
          <w:lang w:val="et-EE"/>
        </w:rPr>
      </w:pPr>
    </w:p>
    <w:p w14:paraId="3A3AA2E0" w14:textId="77777777" w:rsidR="00BB6A42" w:rsidRDefault="00BB6A42" w:rsidP="00CF0A95">
      <w:pPr>
        <w:rPr>
          <w:lang w:val="et-EE"/>
        </w:rPr>
      </w:pPr>
    </w:p>
    <w:p w14:paraId="76873FE4" w14:textId="77777777" w:rsidR="00660A5A" w:rsidRDefault="00660A5A" w:rsidP="00CF0A95">
      <w:pPr>
        <w:rPr>
          <w:lang w:val="et-EE"/>
        </w:rPr>
      </w:pPr>
    </w:p>
    <w:p w14:paraId="3DAB09D6" w14:textId="77777777" w:rsidR="00660A5A" w:rsidRDefault="00660A5A" w:rsidP="00CF0A95">
      <w:pPr>
        <w:rPr>
          <w:lang w:val="et-EE"/>
        </w:rPr>
      </w:pPr>
    </w:p>
    <w:p w14:paraId="65A521E5" w14:textId="77777777" w:rsidR="00011928" w:rsidRDefault="00011928" w:rsidP="00814F20">
      <w:pPr>
        <w:rPr>
          <w:lang w:val="et-EE"/>
        </w:rPr>
      </w:pPr>
    </w:p>
    <w:p w14:paraId="0B122F27" w14:textId="77777777" w:rsidR="00011928" w:rsidRDefault="00011928" w:rsidP="005359F4">
      <w:pPr>
        <w:pStyle w:val="Heading2"/>
        <w:rPr>
          <w:lang w:val="et-EE"/>
        </w:rPr>
      </w:pPr>
      <w:r w:rsidRPr="00BB7E84">
        <w:rPr>
          <w:sz w:val="48"/>
          <w:u w:val="single"/>
          <w:lang w:val="et-EE"/>
        </w:rPr>
        <w:lastRenderedPageBreak/>
        <w:t>Näitused ja üritused</w:t>
      </w:r>
    </w:p>
    <w:p w14:paraId="53A7A04B" w14:textId="77777777" w:rsidR="00011928" w:rsidRDefault="00011928" w:rsidP="00814F20">
      <w:pPr>
        <w:rPr>
          <w:lang w:val="et-EE"/>
        </w:rPr>
      </w:pPr>
    </w:p>
    <w:p w14:paraId="60BD2EC4" w14:textId="77777777" w:rsidR="00BB7E84" w:rsidRPr="00C7606D" w:rsidRDefault="00BB7E84" w:rsidP="00BB7E84">
      <w:pPr>
        <w:rPr>
          <w:color w:val="000000" w:themeColor="text1"/>
          <w:lang w:val="et-EE"/>
        </w:rPr>
      </w:pPr>
      <w:r w:rsidRPr="00C7606D">
        <w:rPr>
          <w:color w:val="000000" w:themeColor="text1"/>
          <w:lang w:val="et-EE"/>
        </w:rPr>
        <w:t xml:space="preserve">Eesmärk I – </w:t>
      </w:r>
      <w:r w:rsidR="00C7606D" w:rsidRPr="00C7606D">
        <w:rPr>
          <w:color w:val="000000" w:themeColor="text1"/>
          <w:lang w:val="et-EE"/>
        </w:rPr>
        <w:t xml:space="preserve">Valmib </w:t>
      </w:r>
      <w:r w:rsidR="007360A4" w:rsidRPr="00C7606D">
        <w:rPr>
          <w:color w:val="000000" w:themeColor="text1"/>
          <w:lang w:val="et-EE"/>
        </w:rPr>
        <w:t>Eesti Spordi- j</w:t>
      </w:r>
      <w:r w:rsidR="00C7606D" w:rsidRPr="00C7606D">
        <w:rPr>
          <w:color w:val="000000" w:themeColor="text1"/>
          <w:lang w:val="et-EE"/>
        </w:rPr>
        <w:t>a Olümpiamuuseumi uus püsinäitus</w:t>
      </w:r>
      <w:r w:rsidRPr="00C7606D">
        <w:rPr>
          <w:color w:val="000000" w:themeColor="text1"/>
          <w:lang w:val="et-EE"/>
        </w:rPr>
        <w:br/>
        <w:t xml:space="preserve">Eesmärk II – </w:t>
      </w:r>
      <w:r w:rsidR="007360A4" w:rsidRPr="00C7606D">
        <w:rPr>
          <w:color w:val="000000" w:themeColor="text1"/>
          <w:lang w:val="et-EE"/>
        </w:rPr>
        <w:t xml:space="preserve">Muuseumi käed-külge näitused pakuvad </w:t>
      </w:r>
      <w:r w:rsidR="003A0D89">
        <w:rPr>
          <w:color w:val="000000" w:themeColor="text1"/>
          <w:lang w:val="et-EE"/>
        </w:rPr>
        <w:t>unikaalseid lahendusi ja külastajaemotsioone</w:t>
      </w:r>
      <w:r w:rsidRPr="00C7606D">
        <w:rPr>
          <w:color w:val="000000" w:themeColor="text1"/>
          <w:lang w:val="et-EE"/>
        </w:rPr>
        <w:br/>
        <w:t xml:space="preserve">Eesmärk III – </w:t>
      </w:r>
      <w:r w:rsidR="007360A4" w:rsidRPr="00C7606D">
        <w:rPr>
          <w:color w:val="000000" w:themeColor="text1"/>
          <w:lang w:val="et-EE"/>
        </w:rPr>
        <w:t>Mitmekesine ürituste</w:t>
      </w:r>
      <w:r w:rsidR="00C7606D" w:rsidRPr="00C7606D">
        <w:rPr>
          <w:color w:val="000000" w:themeColor="text1"/>
          <w:lang w:val="et-EE"/>
        </w:rPr>
        <w:t xml:space="preserve"> </w:t>
      </w:r>
      <w:r w:rsidR="007360A4" w:rsidRPr="00C7606D">
        <w:rPr>
          <w:color w:val="000000" w:themeColor="text1"/>
          <w:lang w:val="et-EE"/>
        </w:rPr>
        <w:t>programm erinevatele sihtrühmadele</w:t>
      </w:r>
      <w:r w:rsidR="00C7606D">
        <w:rPr>
          <w:color w:val="000000" w:themeColor="text1"/>
          <w:lang w:val="et-EE"/>
        </w:rPr>
        <w:t xml:space="preserve"> teeb muuseumist populaarse peresihtkoha</w:t>
      </w:r>
    </w:p>
    <w:p w14:paraId="54B80705" w14:textId="77777777" w:rsidR="00011928" w:rsidRDefault="00011928" w:rsidP="00814F20">
      <w:pPr>
        <w:rPr>
          <w:lang w:val="et-EE"/>
        </w:rPr>
      </w:pPr>
    </w:p>
    <w:p w14:paraId="32F22149" w14:textId="29D8AE23" w:rsidR="00BB7E84" w:rsidRPr="000753F9" w:rsidRDefault="0047645D" w:rsidP="000753F9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C0799" w:rsidRPr="000753F9">
        <w:rPr>
          <w:sz w:val="28"/>
          <w:lang w:val="et-EE"/>
        </w:rPr>
        <w:t xml:space="preserve">: </w:t>
      </w:r>
      <w:r w:rsidR="00303852">
        <w:rPr>
          <w:sz w:val="28"/>
          <w:lang w:val="et-EE"/>
        </w:rPr>
        <w:t>Uus p</w:t>
      </w:r>
      <w:r w:rsidR="007C0799" w:rsidRPr="000753F9">
        <w:rPr>
          <w:sz w:val="28"/>
          <w:lang w:val="et-EE"/>
        </w:rPr>
        <w:t>üsinäitus</w:t>
      </w:r>
    </w:p>
    <w:p w14:paraId="0DF3B887" w14:textId="77777777" w:rsidR="007C0799" w:rsidRDefault="007C0799" w:rsidP="00814F20">
      <w:pPr>
        <w:rPr>
          <w:lang w:val="et-EE"/>
        </w:rPr>
      </w:pPr>
    </w:p>
    <w:p w14:paraId="59FABFB3" w14:textId="79D165EE" w:rsidR="009E65DE" w:rsidRDefault="009E65DE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Eesti Spordi- ja Olümpiamuuseumi uue</w:t>
      </w:r>
      <w:r w:rsidR="00EC6BF9">
        <w:rPr>
          <w:lang w:val="et-EE"/>
        </w:rPr>
        <w:t xml:space="preserve"> </w:t>
      </w:r>
      <w:r>
        <w:rPr>
          <w:lang w:val="et-EE"/>
        </w:rPr>
        <w:t>püsinäitus</w:t>
      </w:r>
      <w:r w:rsidR="00C7606D">
        <w:rPr>
          <w:lang w:val="et-EE"/>
        </w:rPr>
        <w:t>e</w:t>
      </w:r>
      <w:r>
        <w:rPr>
          <w:lang w:val="et-EE"/>
        </w:rPr>
        <w:t xml:space="preserve"> </w:t>
      </w:r>
      <w:r w:rsidR="00C7606D">
        <w:rPr>
          <w:lang w:val="et-EE"/>
        </w:rPr>
        <w:t>projekti valmimine</w:t>
      </w:r>
      <w:r w:rsidR="001E0350">
        <w:rPr>
          <w:lang w:val="et-EE"/>
        </w:rPr>
        <w:t xml:space="preserve"> 2018</w:t>
      </w:r>
      <w:r>
        <w:rPr>
          <w:lang w:val="et-EE"/>
        </w:rPr>
        <w:t xml:space="preserve">. aasta </w:t>
      </w:r>
      <w:r w:rsidR="001E0350">
        <w:rPr>
          <w:lang w:val="et-EE"/>
        </w:rPr>
        <w:t>I pooles</w:t>
      </w:r>
    </w:p>
    <w:p w14:paraId="039919C3" w14:textId="5C940BC5" w:rsidR="00253236" w:rsidRDefault="007A5A90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Püsiekspositsiooni rahastamisel on leitud toetajaid nii avalikust kui erasektorist, soovitavalt ka välismaalt </w:t>
      </w:r>
    </w:p>
    <w:p w14:paraId="237DF840" w14:textId="714045C8" w:rsidR="00253236" w:rsidRDefault="00253236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Püsinäituse valmimine</w:t>
      </w:r>
      <w:r w:rsidR="00865712">
        <w:rPr>
          <w:lang w:val="et-EE"/>
        </w:rPr>
        <w:t xml:space="preserve"> </w:t>
      </w:r>
      <w:r w:rsidR="004F4326">
        <w:rPr>
          <w:lang w:val="et-EE"/>
        </w:rPr>
        <w:t>rahastuse leidmisel 2019</w:t>
      </w:r>
      <w:r w:rsidR="00303852">
        <w:rPr>
          <w:lang w:val="et-EE"/>
        </w:rPr>
        <w:t>.</w:t>
      </w:r>
      <w:r w:rsidR="003A0D89">
        <w:rPr>
          <w:lang w:val="et-EE"/>
        </w:rPr>
        <w:t xml:space="preserve"> aastal</w:t>
      </w:r>
    </w:p>
    <w:p w14:paraId="32A981BF" w14:textId="77777777" w:rsidR="000753F9" w:rsidRDefault="000753F9" w:rsidP="00814F20">
      <w:pPr>
        <w:rPr>
          <w:lang w:val="et-EE"/>
        </w:rPr>
      </w:pPr>
    </w:p>
    <w:p w14:paraId="2BE355B4" w14:textId="424F1820" w:rsidR="007C0799" w:rsidRPr="000753F9" w:rsidRDefault="0047645D" w:rsidP="000753F9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360A4">
        <w:rPr>
          <w:sz w:val="28"/>
          <w:lang w:val="et-EE"/>
        </w:rPr>
        <w:t>: Ajutised ja tellimu</w:t>
      </w:r>
      <w:r w:rsidR="007C0799" w:rsidRPr="000753F9">
        <w:rPr>
          <w:sz w:val="28"/>
          <w:lang w:val="et-EE"/>
        </w:rPr>
        <w:t>snäitused</w:t>
      </w:r>
    </w:p>
    <w:p w14:paraId="4B5BA1A6" w14:textId="77777777" w:rsidR="007C0799" w:rsidRDefault="007C0799" w:rsidP="00814F20">
      <w:pPr>
        <w:rPr>
          <w:lang w:val="et-EE"/>
        </w:rPr>
      </w:pPr>
    </w:p>
    <w:p w14:paraId="15552D2E" w14:textId="77777777" w:rsidR="000753F9" w:rsidRDefault="00303852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Spordimuuseumi ajutised suurnäitused annavad parimal moel edasi spordiga seotud emotsioone ja elamusi</w:t>
      </w:r>
    </w:p>
    <w:p w14:paraId="7FB3094F" w14:textId="78A1E924" w:rsidR="00253236" w:rsidRDefault="00303852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Spordimuuseumis toimu</w:t>
      </w:r>
      <w:r w:rsidR="007A5A90">
        <w:rPr>
          <w:lang w:val="et-EE"/>
        </w:rPr>
        <w:t>b</w:t>
      </w:r>
      <w:r>
        <w:rPr>
          <w:lang w:val="et-EE"/>
        </w:rPr>
        <w:t xml:space="preserve"> iga</w:t>
      </w:r>
      <w:r w:rsidR="007A5A90">
        <w:rPr>
          <w:lang w:val="et-EE"/>
        </w:rPr>
        <w:t>-</w:t>
      </w:r>
      <w:r>
        <w:rPr>
          <w:lang w:val="et-EE"/>
        </w:rPr>
        <w:t xml:space="preserve">aastaselt vähemalt 4 </w:t>
      </w:r>
      <w:r w:rsidR="007A5A90">
        <w:rPr>
          <w:lang w:val="et-EE"/>
        </w:rPr>
        <w:t xml:space="preserve">väiksemas mahus </w:t>
      </w:r>
      <w:r>
        <w:rPr>
          <w:lang w:val="et-EE"/>
        </w:rPr>
        <w:t>ajalooväljapanekut, mis lisaks tellimusnäitustele annavad parimal moel edasi spordiajalugu nii esemetes kui tekstides</w:t>
      </w:r>
    </w:p>
    <w:p w14:paraId="572A46FF" w14:textId="4F6A3A4C" w:rsidR="00B05619" w:rsidRDefault="00B05619" w:rsidP="00303852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Koostöös välisriikide saatkondadega jõuab igal aastal Eestisse ajutiseks väljapanekuks vähemalt üks rahvusvaheline rariteet</w:t>
      </w:r>
    </w:p>
    <w:p w14:paraId="12792678" w14:textId="77777777" w:rsidR="007C0799" w:rsidRDefault="007C0799" w:rsidP="00814F20">
      <w:pPr>
        <w:rPr>
          <w:lang w:val="et-EE"/>
        </w:rPr>
      </w:pPr>
    </w:p>
    <w:p w14:paraId="4CC58C5B" w14:textId="6B7B740A" w:rsidR="007C0799" w:rsidRPr="000753F9" w:rsidRDefault="0047645D" w:rsidP="000753F9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0753F9" w:rsidRPr="000753F9">
        <w:rPr>
          <w:sz w:val="28"/>
          <w:lang w:val="et-EE"/>
        </w:rPr>
        <w:t>: Üritused</w:t>
      </w:r>
    </w:p>
    <w:p w14:paraId="51A652D4" w14:textId="77777777" w:rsidR="000753F9" w:rsidRDefault="000753F9" w:rsidP="00814F20">
      <w:pPr>
        <w:rPr>
          <w:lang w:val="et-EE"/>
        </w:rPr>
      </w:pPr>
    </w:p>
    <w:p w14:paraId="74C46BB3" w14:textId="32911F39" w:rsidR="00580BFA" w:rsidRDefault="0044523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Mu</w:t>
      </w:r>
      <w:r w:rsidR="001E0350">
        <w:rPr>
          <w:lang w:val="et-EE"/>
        </w:rPr>
        <w:t>useumis toimub aastas vähemalt 2</w:t>
      </w:r>
      <w:r>
        <w:rPr>
          <w:lang w:val="et-EE"/>
        </w:rPr>
        <w:t>0 harivat ja meeleolukat perepäeva (ekskursioonid, töötoad, kohtumised tippsportlastega, tervise- ja liikumisteemalised loengud jne)</w:t>
      </w:r>
    </w:p>
    <w:p w14:paraId="2E64A651" w14:textId="77777777" w:rsidR="000753F9" w:rsidRDefault="0044523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Muuseum korraldab ise ja toetab teisi spordiajaloo organisatsioone spordiajalooliste ürituste korraldamisel</w:t>
      </w:r>
    </w:p>
    <w:p w14:paraId="664D47AB" w14:textId="1F18D9B0" w:rsidR="00253236" w:rsidRDefault="0044523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Muuseum </w:t>
      </w:r>
      <w:r w:rsidR="007A5A90">
        <w:rPr>
          <w:lang w:val="et-EE"/>
        </w:rPr>
        <w:t>jätkab</w:t>
      </w:r>
      <w:r>
        <w:rPr>
          <w:lang w:val="et-EE"/>
        </w:rPr>
        <w:t xml:space="preserve"> traditsioonilis</w:t>
      </w:r>
      <w:r w:rsidR="007A5A90">
        <w:rPr>
          <w:lang w:val="et-EE"/>
        </w:rPr>
        <w:t xml:space="preserve">te </w:t>
      </w:r>
      <w:r>
        <w:rPr>
          <w:lang w:val="et-EE"/>
        </w:rPr>
        <w:t>spordikallakuga meelelahutuslike m</w:t>
      </w:r>
      <w:r w:rsidR="007A5A90">
        <w:rPr>
          <w:lang w:val="et-EE"/>
        </w:rPr>
        <w:t>älumängude korraldamist</w:t>
      </w:r>
    </w:p>
    <w:p w14:paraId="3DC34795" w14:textId="77777777" w:rsidR="00253236" w:rsidRDefault="0044523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Iga</w:t>
      </w:r>
      <w:r w:rsidR="00C426E6">
        <w:rPr>
          <w:lang w:val="et-EE"/>
        </w:rPr>
        <w:t>-</w:t>
      </w:r>
      <w:r>
        <w:rPr>
          <w:lang w:val="et-EE"/>
        </w:rPr>
        <w:t>aastaselt toimuv spordimuuseumi konverents pöörab süvendatud pilgu spordiajaloole ja sportlastele</w:t>
      </w:r>
    </w:p>
    <w:p w14:paraId="5339CA32" w14:textId="77777777" w:rsidR="007C0799" w:rsidRDefault="007C0799">
      <w:p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u w:val="single"/>
          <w:lang w:val="et-EE"/>
        </w:rPr>
      </w:pPr>
      <w:r>
        <w:rPr>
          <w:sz w:val="48"/>
          <w:u w:val="single"/>
          <w:lang w:val="et-EE"/>
        </w:rPr>
        <w:br w:type="page"/>
      </w:r>
    </w:p>
    <w:p w14:paraId="6B0EBB80" w14:textId="77777777" w:rsidR="00011928" w:rsidRPr="00BB7E84" w:rsidRDefault="00742FEA" w:rsidP="005359F4">
      <w:pPr>
        <w:pStyle w:val="Heading2"/>
        <w:rPr>
          <w:sz w:val="48"/>
          <w:u w:val="single"/>
          <w:lang w:val="et-EE"/>
        </w:rPr>
      </w:pPr>
      <w:r>
        <w:rPr>
          <w:sz w:val="48"/>
          <w:u w:val="single"/>
          <w:lang w:val="et-EE"/>
        </w:rPr>
        <w:lastRenderedPageBreak/>
        <w:t>Kommunikatsioon</w:t>
      </w:r>
      <w:r w:rsidR="003A0D89">
        <w:rPr>
          <w:sz w:val="48"/>
          <w:u w:val="single"/>
          <w:lang w:val="et-EE"/>
        </w:rPr>
        <w:t xml:space="preserve"> ja turundus</w:t>
      </w:r>
    </w:p>
    <w:p w14:paraId="2F3C0773" w14:textId="77777777" w:rsidR="00011928" w:rsidRPr="003A0D89" w:rsidRDefault="00011928" w:rsidP="00814F20">
      <w:pPr>
        <w:rPr>
          <w:lang w:val="et-EE"/>
        </w:rPr>
      </w:pPr>
    </w:p>
    <w:p w14:paraId="2CF69AA0" w14:textId="7801BC3A" w:rsidR="004C1798" w:rsidRPr="003A0D89" w:rsidRDefault="004C1798" w:rsidP="004C1798">
      <w:pPr>
        <w:rPr>
          <w:lang w:val="et-EE"/>
        </w:rPr>
      </w:pPr>
      <w:r w:rsidRPr="003A0D89">
        <w:rPr>
          <w:lang w:val="et-EE"/>
        </w:rPr>
        <w:t>Eesmärk I – Eesti Spordi- ja Olümpiamuuseum</w:t>
      </w:r>
      <w:r w:rsidR="003A0D89" w:rsidRPr="003A0D89">
        <w:rPr>
          <w:lang w:val="et-EE"/>
        </w:rPr>
        <w:t xml:space="preserve"> on </w:t>
      </w:r>
      <w:r w:rsidR="00445239" w:rsidRPr="003A0D89">
        <w:rPr>
          <w:lang w:val="et-EE"/>
        </w:rPr>
        <w:t xml:space="preserve">Tartu linnaruumis </w:t>
      </w:r>
      <w:r w:rsidR="003A0D89" w:rsidRPr="003A0D89">
        <w:rPr>
          <w:lang w:val="et-EE"/>
        </w:rPr>
        <w:t xml:space="preserve">selgelt äratuntav </w:t>
      </w:r>
      <w:r w:rsidRPr="003A0D89">
        <w:rPr>
          <w:lang w:val="et-EE"/>
        </w:rPr>
        <w:br/>
        <w:t xml:space="preserve">Eesmärk II – </w:t>
      </w:r>
      <w:r w:rsidR="003A0D89" w:rsidRPr="003A0D89">
        <w:rPr>
          <w:lang w:val="et-EE"/>
        </w:rPr>
        <w:t xml:space="preserve">Eesti Spordi- ja Olümpiamuuseum on </w:t>
      </w:r>
      <w:r w:rsidR="007A5A90">
        <w:rPr>
          <w:lang w:val="et-EE"/>
        </w:rPr>
        <w:t xml:space="preserve">sotsiaalmeedias </w:t>
      </w:r>
      <w:r w:rsidR="003A0D89" w:rsidRPr="003A0D89">
        <w:rPr>
          <w:lang w:val="et-EE"/>
        </w:rPr>
        <w:t xml:space="preserve">Eesti  </w:t>
      </w:r>
      <w:r w:rsidR="007A5A90">
        <w:rPr>
          <w:lang w:val="et-EE"/>
        </w:rPr>
        <w:t>jälgitavamate</w:t>
      </w:r>
      <w:r w:rsidR="003A0D89" w:rsidRPr="003A0D89">
        <w:rPr>
          <w:lang w:val="et-EE"/>
        </w:rPr>
        <w:t xml:space="preserve"> </w:t>
      </w:r>
      <w:r w:rsidR="007A5A90">
        <w:rPr>
          <w:lang w:val="et-EE"/>
        </w:rPr>
        <w:t>muuseumide top3-s</w:t>
      </w:r>
      <w:r w:rsidRPr="003A0D89">
        <w:rPr>
          <w:lang w:val="et-EE"/>
        </w:rPr>
        <w:br/>
        <w:t xml:space="preserve">Eesmärk III – </w:t>
      </w:r>
      <w:r w:rsidR="003A0D89" w:rsidRPr="003A0D89">
        <w:rPr>
          <w:lang w:val="et-EE"/>
        </w:rPr>
        <w:t xml:space="preserve">Turunduskoostöö avaliku- ja erasektori </w:t>
      </w:r>
      <w:r w:rsidR="007A5A90">
        <w:rPr>
          <w:lang w:val="et-EE"/>
        </w:rPr>
        <w:t xml:space="preserve">asutuste ja organisatsioonidega </w:t>
      </w:r>
      <w:r w:rsidR="003A0D89" w:rsidRPr="003A0D89">
        <w:rPr>
          <w:lang w:val="et-EE"/>
        </w:rPr>
        <w:t>tagab muuseumi sõnumi regulaarse leviku</w:t>
      </w:r>
    </w:p>
    <w:p w14:paraId="0B96A96B" w14:textId="77777777" w:rsidR="00D649DF" w:rsidRDefault="00D649DF" w:rsidP="00814F20">
      <w:pPr>
        <w:rPr>
          <w:lang w:val="et-EE"/>
        </w:rPr>
      </w:pPr>
    </w:p>
    <w:p w14:paraId="2DEE37AD" w14:textId="2795C041" w:rsidR="004C1798" w:rsidRDefault="0047645D" w:rsidP="004C1798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4C1798" w:rsidRPr="000753F9">
        <w:rPr>
          <w:sz w:val="28"/>
          <w:lang w:val="et-EE"/>
        </w:rPr>
        <w:t xml:space="preserve">: </w:t>
      </w:r>
      <w:r w:rsidR="004C1798">
        <w:rPr>
          <w:sz w:val="28"/>
          <w:lang w:val="et-EE"/>
        </w:rPr>
        <w:t>Nähtavus linnaruumis</w:t>
      </w:r>
    </w:p>
    <w:p w14:paraId="26DABE77" w14:textId="77777777" w:rsidR="003A0D89" w:rsidRDefault="003A0D8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Muuseumi vahetu ümbrus toetab muuseumi avalikku nähtavust, muuseumimaja on selgelt äratuntav sporditeemalise külastuskeskusena (muuseumiesised tegevused, kujundatud aknad jne.)</w:t>
      </w:r>
    </w:p>
    <w:p w14:paraId="30C9B42C" w14:textId="77777777" w:rsidR="003A0D89" w:rsidRDefault="003A0D8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>Tartu kesklinna tsoon on kaetud spordimuuseumi tutvustavate alternatiivsete reklaamilahendustega</w:t>
      </w:r>
    </w:p>
    <w:p w14:paraId="4511C6C3" w14:textId="77777777" w:rsidR="00CF01AF" w:rsidRPr="004C1798" w:rsidRDefault="003A0D89" w:rsidP="007A5A90">
      <w:pPr>
        <w:pStyle w:val="ListParagraph"/>
        <w:numPr>
          <w:ilvl w:val="0"/>
          <w:numId w:val="6"/>
        </w:numPr>
        <w:jc w:val="both"/>
        <w:rPr>
          <w:lang w:val="et-EE"/>
        </w:rPr>
      </w:pPr>
      <w:r>
        <w:rPr>
          <w:lang w:val="et-EE"/>
        </w:rPr>
        <w:t xml:space="preserve">Tartus ja Tartust </w:t>
      </w:r>
      <w:r w:rsidR="00CF01AF">
        <w:rPr>
          <w:lang w:val="et-EE"/>
        </w:rPr>
        <w:t xml:space="preserve">kaugemal </w:t>
      </w:r>
      <w:r>
        <w:rPr>
          <w:lang w:val="et-EE"/>
        </w:rPr>
        <w:t xml:space="preserve">on </w:t>
      </w:r>
      <w:r w:rsidR="00CF01AF">
        <w:rPr>
          <w:lang w:val="et-EE"/>
        </w:rPr>
        <w:t xml:space="preserve">tagatud </w:t>
      </w:r>
      <w:r>
        <w:rPr>
          <w:lang w:val="et-EE"/>
        </w:rPr>
        <w:t xml:space="preserve">muuseumi regulaarne nähtavus </w:t>
      </w:r>
      <w:r w:rsidR="00CF01AF">
        <w:rPr>
          <w:lang w:val="et-EE"/>
        </w:rPr>
        <w:t>koolides, hotellides, turismiettevõtetes, spordiasutustes</w:t>
      </w:r>
    </w:p>
    <w:p w14:paraId="56030B51" w14:textId="77777777" w:rsidR="004C1798" w:rsidRDefault="004C1798" w:rsidP="004C1798">
      <w:pPr>
        <w:rPr>
          <w:lang w:val="et-EE"/>
        </w:rPr>
      </w:pPr>
    </w:p>
    <w:p w14:paraId="4DD61285" w14:textId="2D6A6D56" w:rsidR="004C1798" w:rsidRDefault="0047645D" w:rsidP="004C1798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4C1798" w:rsidRPr="000753F9">
        <w:rPr>
          <w:sz w:val="28"/>
          <w:lang w:val="et-EE"/>
        </w:rPr>
        <w:t xml:space="preserve">: </w:t>
      </w:r>
      <w:r w:rsidR="004C1798">
        <w:rPr>
          <w:sz w:val="28"/>
          <w:lang w:val="et-EE"/>
        </w:rPr>
        <w:t>Nähtavus meedias ja sotsiaalmeedias</w:t>
      </w:r>
    </w:p>
    <w:p w14:paraId="5115C000" w14:textId="135C4120" w:rsidR="00BB1B94" w:rsidRPr="007D6C43" w:rsidRDefault="00BB1B94" w:rsidP="00BB1B94">
      <w:pPr>
        <w:pStyle w:val="ListParagraph"/>
        <w:numPr>
          <w:ilvl w:val="0"/>
          <w:numId w:val="4"/>
        </w:numPr>
        <w:rPr>
          <w:lang w:val="et-EE"/>
        </w:rPr>
      </w:pPr>
      <w:r w:rsidRPr="007D6C43">
        <w:rPr>
          <w:lang w:val="et-EE"/>
        </w:rPr>
        <w:t>Spordimuuseumil on aastaks 20</w:t>
      </w:r>
      <w:r w:rsidR="00E92D9C">
        <w:rPr>
          <w:lang w:val="et-EE"/>
        </w:rPr>
        <w:t>20</w:t>
      </w:r>
      <w:r w:rsidRPr="007D6C43">
        <w:rPr>
          <w:lang w:val="et-EE"/>
        </w:rPr>
        <w:t xml:space="preserve"> jälgijate arvult Facebookis Eesti muuseumide top3-s</w:t>
      </w:r>
    </w:p>
    <w:p w14:paraId="4A73A707" w14:textId="4307A7C1" w:rsidR="00BB1B94" w:rsidRPr="007D6C43" w:rsidRDefault="00BB1B94" w:rsidP="00BB1B94">
      <w:pPr>
        <w:pStyle w:val="ListParagraph"/>
        <w:numPr>
          <w:ilvl w:val="0"/>
          <w:numId w:val="4"/>
        </w:numPr>
        <w:rPr>
          <w:lang w:val="et-EE"/>
        </w:rPr>
      </w:pPr>
      <w:r w:rsidRPr="007D6C43">
        <w:rPr>
          <w:lang w:val="et-EE"/>
        </w:rPr>
        <w:t>Spordimuuseum on aastaks 20</w:t>
      </w:r>
      <w:r w:rsidR="00E92D9C">
        <w:rPr>
          <w:lang w:val="et-EE"/>
        </w:rPr>
        <w:t>20</w:t>
      </w:r>
      <w:r w:rsidRPr="007D6C43">
        <w:rPr>
          <w:lang w:val="et-EE"/>
        </w:rPr>
        <w:t xml:space="preserve"> Tripadvisor portaali top3 sihtkohaks Tartus</w:t>
      </w:r>
    </w:p>
    <w:p w14:paraId="6882ABCA" w14:textId="7DF86CE7" w:rsidR="001B3885" w:rsidRDefault="00E85EDF" w:rsidP="004C1798">
      <w:pPr>
        <w:pStyle w:val="ListParagraph"/>
        <w:numPr>
          <w:ilvl w:val="0"/>
          <w:numId w:val="4"/>
        </w:numPr>
        <w:rPr>
          <w:lang w:val="et-EE"/>
        </w:rPr>
      </w:pPr>
      <w:r w:rsidRPr="007D6C43">
        <w:rPr>
          <w:lang w:val="et-EE"/>
        </w:rPr>
        <w:t xml:space="preserve">Spordimuuseum on jätkuvalt Eesti </w:t>
      </w:r>
      <w:r w:rsidR="004F4326">
        <w:rPr>
          <w:lang w:val="et-EE"/>
        </w:rPr>
        <w:t>top3</w:t>
      </w:r>
      <w:r w:rsidRPr="007D6C43">
        <w:rPr>
          <w:lang w:val="et-EE"/>
        </w:rPr>
        <w:t xml:space="preserve"> jälgijate hulgaga muuseum Instagramis</w:t>
      </w:r>
    </w:p>
    <w:p w14:paraId="3F4B587D" w14:textId="77777777" w:rsidR="00BB1B94" w:rsidRDefault="00BB1B94" w:rsidP="00BB1B94">
      <w:pPr>
        <w:pStyle w:val="ListParagraph"/>
        <w:numPr>
          <w:ilvl w:val="0"/>
          <w:numId w:val="4"/>
        </w:numPr>
        <w:rPr>
          <w:lang w:val="et-EE"/>
        </w:rPr>
      </w:pPr>
      <w:r w:rsidRPr="007D6C43">
        <w:rPr>
          <w:lang w:val="et-EE"/>
        </w:rPr>
        <w:t>Suurenenud on muuseumi töötajate sõnavõttude ja artiklite hulk meedias</w:t>
      </w:r>
    </w:p>
    <w:p w14:paraId="6DFDDE70" w14:textId="77777777" w:rsidR="00BB1B94" w:rsidRPr="007D6C43" w:rsidRDefault="00BB1B94" w:rsidP="00BB1B94">
      <w:pPr>
        <w:pStyle w:val="ListParagraph"/>
        <w:rPr>
          <w:lang w:val="et-EE"/>
        </w:rPr>
      </w:pPr>
    </w:p>
    <w:p w14:paraId="4A940F2C" w14:textId="77777777" w:rsidR="00D649DF" w:rsidRDefault="00D649DF" w:rsidP="00814F20">
      <w:pPr>
        <w:rPr>
          <w:lang w:val="et-EE"/>
        </w:rPr>
      </w:pPr>
    </w:p>
    <w:p w14:paraId="2D16D8D6" w14:textId="4FB4A103" w:rsidR="004C1798" w:rsidRDefault="0047645D" w:rsidP="004C1798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4C1798" w:rsidRPr="000753F9">
        <w:rPr>
          <w:sz w:val="28"/>
          <w:lang w:val="et-EE"/>
        </w:rPr>
        <w:t xml:space="preserve">: </w:t>
      </w:r>
      <w:r w:rsidR="004C1798">
        <w:rPr>
          <w:sz w:val="28"/>
          <w:lang w:val="et-EE"/>
        </w:rPr>
        <w:t>Turunduskoostöö</w:t>
      </w:r>
    </w:p>
    <w:p w14:paraId="60895904" w14:textId="77777777" w:rsidR="004C1798" w:rsidRDefault="00E85E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on koostöö tulemusel nähtav nii reklaami kui sisutekstide osas suuremate spordialaliitude väljaannetes</w:t>
      </w:r>
    </w:p>
    <w:p w14:paraId="1028CF0A" w14:textId="77777777" w:rsidR="004C1798" w:rsidRDefault="00E85E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on koostöö tulemusel nähtav erasektori spordiklubide ja spordifirmade infokirjades ja väljaannetes</w:t>
      </w:r>
    </w:p>
    <w:p w14:paraId="089B6B48" w14:textId="77777777" w:rsidR="004C1798" w:rsidRPr="00E85EDF" w:rsidRDefault="00E85E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 w:rsidRPr="00E85EDF">
        <w:rPr>
          <w:lang w:val="et-EE"/>
        </w:rPr>
        <w:t xml:space="preserve">Muuseum teeb aktiivselt </w:t>
      </w:r>
      <w:r>
        <w:rPr>
          <w:lang w:val="et-EE"/>
        </w:rPr>
        <w:t>turundus</w:t>
      </w:r>
      <w:r w:rsidRPr="00E85EDF">
        <w:rPr>
          <w:lang w:val="et-EE"/>
        </w:rPr>
        <w:t xml:space="preserve">koostööd juhtivate spordi- ja hariduskeskustega Eestis ja välismaal </w:t>
      </w:r>
    </w:p>
    <w:p w14:paraId="4D6F68EB" w14:textId="77777777" w:rsidR="004C1798" w:rsidRDefault="004C1798" w:rsidP="00814F20">
      <w:pPr>
        <w:rPr>
          <w:lang w:val="et-EE"/>
        </w:rPr>
      </w:pPr>
    </w:p>
    <w:p w14:paraId="4618EF50" w14:textId="77777777" w:rsidR="00011928" w:rsidRDefault="00011928" w:rsidP="00814F20">
      <w:pPr>
        <w:rPr>
          <w:lang w:val="et-EE"/>
        </w:rPr>
      </w:pPr>
    </w:p>
    <w:p w14:paraId="45A1B823" w14:textId="77777777" w:rsidR="00BB7E84" w:rsidRDefault="00BB7E8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t-EE"/>
        </w:rPr>
      </w:pPr>
      <w:r>
        <w:rPr>
          <w:lang w:val="et-EE"/>
        </w:rPr>
        <w:br w:type="page"/>
      </w:r>
    </w:p>
    <w:p w14:paraId="6821FC04" w14:textId="77777777" w:rsidR="00011928" w:rsidRPr="00BB7E84" w:rsidRDefault="00011928" w:rsidP="005359F4">
      <w:pPr>
        <w:pStyle w:val="Heading2"/>
        <w:rPr>
          <w:sz w:val="48"/>
          <w:u w:val="single"/>
          <w:lang w:val="et-EE"/>
        </w:rPr>
      </w:pPr>
      <w:r w:rsidRPr="00BB7E84">
        <w:rPr>
          <w:sz w:val="48"/>
          <w:u w:val="single"/>
          <w:lang w:val="et-EE"/>
        </w:rPr>
        <w:lastRenderedPageBreak/>
        <w:t>Koostöö</w:t>
      </w:r>
    </w:p>
    <w:p w14:paraId="7ACE1578" w14:textId="77777777" w:rsidR="00011928" w:rsidRDefault="00011928" w:rsidP="00814F20">
      <w:pPr>
        <w:rPr>
          <w:lang w:val="et-EE"/>
        </w:rPr>
      </w:pPr>
    </w:p>
    <w:p w14:paraId="4F1A8BA3" w14:textId="5BB74975" w:rsidR="005211B0" w:rsidRDefault="005211B0" w:rsidP="005211B0">
      <w:pPr>
        <w:rPr>
          <w:lang w:val="et-EE"/>
        </w:rPr>
      </w:pPr>
      <w:r>
        <w:rPr>
          <w:lang w:val="et-EE"/>
        </w:rPr>
        <w:t xml:space="preserve">Eesmärk I – </w:t>
      </w:r>
      <w:r w:rsidR="00F67358">
        <w:rPr>
          <w:lang w:val="et-EE"/>
        </w:rPr>
        <w:t>Läbi koostöö avaliku sektori asutustega positsioneerib muuseum end Eesti spordi keskse mäluasutusena</w:t>
      </w:r>
      <w:r>
        <w:rPr>
          <w:lang w:val="et-EE"/>
        </w:rPr>
        <w:br/>
        <w:t xml:space="preserve">Eesmärk II – </w:t>
      </w:r>
      <w:r w:rsidR="00F67358">
        <w:rPr>
          <w:lang w:val="et-EE"/>
        </w:rPr>
        <w:t>Erasektori toetus muuseumi projektidele on regulaarne ja läbimõeldud</w:t>
      </w:r>
      <w:r>
        <w:rPr>
          <w:lang w:val="et-EE"/>
        </w:rPr>
        <w:br/>
        <w:t xml:space="preserve">Eesmärk III – </w:t>
      </w:r>
      <w:r w:rsidR="00F67358">
        <w:rPr>
          <w:lang w:val="et-EE"/>
        </w:rPr>
        <w:t xml:space="preserve">Eesti Spordi- ja Olümpiamuuseum on </w:t>
      </w:r>
      <w:r w:rsidR="00B47DA7">
        <w:rPr>
          <w:lang w:val="et-EE"/>
        </w:rPr>
        <w:t>r</w:t>
      </w:r>
      <w:r w:rsidR="007A5A90">
        <w:rPr>
          <w:lang w:val="et-EE"/>
        </w:rPr>
        <w:t>ahvusvahelise Olümpiamuuseumide Koostöö</w:t>
      </w:r>
      <w:r w:rsidR="00F67358">
        <w:rPr>
          <w:lang w:val="et-EE"/>
        </w:rPr>
        <w:t xml:space="preserve">võrgustiku </w:t>
      </w:r>
      <w:r w:rsidR="00B47DA7">
        <w:rPr>
          <w:lang w:val="et-EE"/>
        </w:rPr>
        <w:t xml:space="preserve">OMN </w:t>
      </w:r>
      <w:r w:rsidR="00F67358">
        <w:rPr>
          <w:lang w:val="et-EE"/>
        </w:rPr>
        <w:t>juhtmuuseumide seas</w:t>
      </w:r>
    </w:p>
    <w:p w14:paraId="486BCD8C" w14:textId="77777777" w:rsidR="005211B0" w:rsidRDefault="005211B0" w:rsidP="00814F20">
      <w:pPr>
        <w:rPr>
          <w:lang w:val="et-EE"/>
        </w:rPr>
      </w:pPr>
    </w:p>
    <w:p w14:paraId="6AB94BD3" w14:textId="78B16D79" w:rsidR="00742FEA" w:rsidRDefault="0047645D" w:rsidP="00742FE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42FEA" w:rsidRPr="00EE2548">
        <w:rPr>
          <w:sz w:val="28"/>
          <w:lang w:val="et-EE"/>
        </w:rPr>
        <w:t xml:space="preserve">: </w:t>
      </w:r>
      <w:r w:rsidR="00742FEA">
        <w:rPr>
          <w:sz w:val="28"/>
          <w:lang w:val="et-EE"/>
        </w:rPr>
        <w:t>Avalik sektor ja spordiorganisatsioonid</w:t>
      </w:r>
    </w:p>
    <w:p w14:paraId="619EC0EE" w14:textId="77777777" w:rsidR="00742FEA" w:rsidRDefault="00742FEA" w:rsidP="00742FEA">
      <w:pPr>
        <w:rPr>
          <w:lang w:val="et-EE"/>
        </w:rPr>
      </w:pPr>
    </w:p>
    <w:p w14:paraId="4C94C307" w14:textId="218A071D" w:rsidR="00D649DF" w:rsidRDefault="00D649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 xml:space="preserve">Muuseum on </w:t>
      </w:r>
      <w:r w:rsidR="00B47DA7">
        <w:rPr>
          <w:lang w:val="et-EE"/>
        </w:rPr>
        <w:t xml:space="preserve">olümpiamuuseumina </w:t>
      </w:r>
      <w:r>
        <w:rPr>
          <w:lang w:val="et-EE"/>
        </w:rPr>
        <w:t>aktiivne partner Eesti Olümpiakomitee projektides ja eesmärkide täitmisel</w:t>
      </w:r>
    </w:p>
    <w:p w14:paraId="020ABA9D" w14:textId="77777777" w:rsidR="00CD7BF2" w:rsidRDefault="00D07923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annab</w:t>
      </w:r>
      <w:r w:rsidR="00D649DF">
        <w:rPr>
          <w:lang w:val="et-EE"/>
        </w:rPr>
        <w:t xml:space="preserve"> koostöös Eesti Olümpiaakadeemiaga välja Georg Hackenschmidti spordiraamatuauhinda</w:t>
      </w:r>
    </w:p>
    <w:p w14:paraId="7E88564A" w14:textId="77777777" w:rsidR="00B47DA7" w:rsidRDefault="00B47DA7" w:rsidP="00B47DA7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 xml:space="preserve">Toimiv koostöö Eesti Rahvusarhiiviga võimaldab efektiivselt kaardistada ja ellu viia spordipärandi kooskõlastatud kogumise </w:t>
      </w:r>
    </w:p>
    <w:p w14:paraId="70A5CF0E" w14:textId="0DE717EB" w:rsidR="00D649DF" w:rsidRDefault="00D649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annab alates 2018. aastast välja tunnusmärki spordisõbralikele koolidele</w:t>
      </w:r>
      <w:r w:rsidR="00BB1B94">
        <w:rPr>
          <w:lang w:val="et-EE"/>
        </w:rPr>
        <w:t xml:space="preserve"> ning korraldab </w:t>
      </w:r>
      <w:r w:rsidR="00DE773C">
        <w:rPr>
          <w:lang w:val="et-EE"/>
        </w:rPr>
        <w:t>üle-eestilist spordipärandi nädalat</w:t>
      </w:r>
    </w:p>
    <w:p w14:paraId="24054ADE" w14:textId="77777777" w:rsidR="00D649DF" w:rsidRDefault="00D649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 on arvestatav partner spordiorganisatsioonidele võimaldamaks pressikonverentside, ürituste, autasustamiste, väljasõiduseminaride ja muude ettevõtmiste korraldamist koostöös muuseumiga</w:t>
      </w:r>
    </w:p>
    <w:p w14:paraId="7A15FE16" w14:textId="77777777" w:rsidR="00D649DF" w:rsidRDefault="00D649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 xml:space="preserve">Spordimuuseum pakub spordiorganisatsioonidele võimalusi spordiala populariseerimiseks, demoüritusteks jne. </w:t>
      </w:r>
    </w:p>
    <w:p w14:paraId="38C19139" w14:textId="2CE120EA" w:rsidR="00742FEA" w:rsidRDefault="00D649DF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 w:rsidRPr="00D649DF">
        <w:rPr>
          <w:lang w:val="et-EE"/>
        </w:rPr>
        <w:t xml:space="preserve">Muuseum teeb tihedat koostööd teiste sporditeemaliste muuseumidega, kellele annab ühtlasi nõu </w:t>
      </w:r>
      <w:r w:rsidR="00B47DA7">
        <w:rPr>
          <w:lang w:val="et-EE"/>
        </w:rPr>
        <w:t xml:space="preserve">ka </w:t>
      </w:r>
      <w:r w:rsidRPr="00D649DF">
        <w:rPr>
          <w:lang w:val="et-EE"/>
        </w:rPr>
        <w:t>kogude korraldamise osas ning laiemalt teiste muuseumidega</w:t>
      </w:r>
    </w:p>
    <w:p w14:paraId="74ECFBAA" w14:textId="4B525E40" w:rsidR="000753F9" w:rsidRPr="00D649DF" w:rsidRDefault="000753F9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teeb koostööd</w:t>
      </w:r>
      <w:r w:rsidR="00DE773C">
        <w:rPr>
          <w:lang w:val="et-EE"/>
        </w:rPr>
        <w:t xml:space="preserve"> teiste</w:t>
      </w:r>
      <w:r>
        <w:rPr>
          <w:lang w:val="et-EE"/>
        </w:rPr>
        <w:t xml:space="preserve"> spordipärandiorganisatsioonidega (Eesti Spordiajaloo Selts, Eesti Spordiveteranide Liit, Spordiajalooklubi Alfred jt)</w:t>
      </w:r>
    </w:p>
    <w:p w14:paraId="427F9F4B" w14:textId="2641BC25" w:rsidR="00742FEA" w:rsidRDefault="0047645D" w:rsidP="00742FE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42FEA" w:rsidRPr="00EE2548">
        <w:rPr>
          <w:sz w:val="28"/>
          <w:lang w:val="et-EE"/>
        </w:rPr>
        <w:t xml:space="preserve">: </w:t>
      </w:r>
      <w:r w:rsidR="00742FEA">
        <w:rPr>
          <w:sz w:val="28"/>
          <w:lang w:val="et-EE"/>
        </w:rPr>
        <w:t>Erasektor ja spordiettevõtted</w:t>
      </w:r>
    </w:p>
    <w:p w14:paraId="350EE7DF" w14:textId="77777777" w:rsidR="00742FEA" w:rsidRDefault="00CD7BF2" w:rsidP="00B47DA7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 xml:space="preserve">Vähemalt 5% aastasest omatulust tuleb erasektori panusest koostööks näitustes, üritustest jms. </w:t>
      </w:r>
    </w:p>
    <w:p w14:paraId="17E237DF" w14:textId="77777777" w:rsidR="00CD7BF2" w:rsidRDefault="00CD7BF2" w:rsidP="00B47DA7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 teeb regulaarset koostööd spordimeedia- ja erasektori väljaannetega (sh. infokirjad) spordipärandi jagamiseks ja muuseumiinfo levitamiseks</w:t>
      </w:r>
    </w:p>
    <w:p w14:paraId="5C862207" w14:textId="77777777" w:rsidR="00CD7BF2" w:rsidRPr="00CD7BF2" w:rsidRDefault="00CD7BF2" w:rsidP="00B47DA7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Koostöös ürituskorraldajatega toimub muuseumis varasemast rohkem spordialaseid üritusi ja ettevõtmisi</w:t>
      </w:r>
    </w:p>
    <w:p w14:paraId="20D45357" w14:textId="0060D204" w:rsidR="00742FEA" w:rsidRDefault="0047645D" w:rsidP="00742FEA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42FEA" w:rsidRPr="00EE2548">
        <w:rPr>
          <w:sz w:val="28"/>
          <w:lang w:val="et-EE"/>
        </w:rPr>
        <w:t xml:space="preserve">: </w:t>
      </w:r>
      <w:r w:rsidR="00742FEA">
        <w:rPr>
          <w:sz w:val="28"/>
          <w:lang w:val="et-EE"/>
        </w:rPr>
        <w:t>Rahvusvaheline koostöö</w:t>
      </w:r>
    </w:p>
    <w:p w14:paraId="0C8E008F" w14:textId="174596E6" w:rsidR="00742FEA" w:rsidRDefault="00CD7BF2" w:rsidP="00CD7BF2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 xml:space="preserve">Muuseumi roll Olümpiamuuseumide koostöövõrgustikus on muutunud aktiivseks, olles töörühmade eestvedaja, rahvusvaheliste näituste vahendaja jne. </w:t>
      </w:r>
    </w:p>
    <w:p w14:paraId="3EB81A28" w14:textId="2B5CB9BF" w:rsidR="00CD7BF2" w:rsidRPr="00CD7BF2" w:rsidRDefault="00CD7BF2" w:rsidP="00CD7BF2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 xml:space="preserve">Muuseum on leidnud </w:t>
      </w:r>
      <w:r w:rsidR="00B47DA7">
        <w:rPr>
          <w:lang w:val="et-EE"/>
        </w:rPr>
        <w:t>täiendavaid</w:t>
      </w:r>
      <w:r>
        <w:rPr>
          <w:lang w:val="et-EE"/>
        </w:rPr>
        <w:t xml:space="preserve"> võimalusi rahvusvaheliseks koostööks</w:t>
      </w:r>
    </w:p>
    <w:p w14:paraId="37D050D1" w14:textId="77777777" w:rsidR="00D649DF" w:rsidRDefault="00D649DF">
      <w:pPr>
        <w:rPr>
          <w:rFonts w:asciiTheme="majorHAnsi" w:eastAsiaTheme="majorEastAsia" w:hAnsiTheme="majorHAnsi" w:cstheme="majorBidi"/>
          <w:color w:val="2E74B5" w:themeColor="accent1" w:themeShade="BF"/>
          <w:sz w:val="48"/>
          <w:szCs w:val="32"/>
          <w:u w:val="single"/>
          <w:lang w:val="et-EE"/>
        </w:rPr>
      </w:pPr>
      <w:r>
        <w:rPr>
          <w:sz w:val="48"/>
          <w:u w:val="single"/>
          <w:lang w:val="et-EE"/>
        </w:rPr>
        <w:br w:type="page"/>
      </w:r>
    </w:p>
    <w:p w14:paraId="4DB92510" w14:textId="77777777" w:rsidR="00011928" w:rsidRDefault="00011928" w:rsidP="005359F4">
      <w:pPr>
        <w:pStyle w:val="Heading2"/>
        <w:rPr>
          <w:sz w:val="48"/>
          <w:u w:val="single"/>
          <w:lang w:val="et-EE"/>
        </w:rPr>
      </w:pPr>
      <w:r w:rsidRPr="00BB7E84">
        <w:rPr>
          <w:sz w:val="48"/>
          <w:u w:val="single"/>
          <w:lang w:val="et-EE"/>
        </w:rPr>
        <w:lastRenderedPageBreak/>
        <w:t>Muuseumikeskkond</w:t>
      </w:r>
    </w:p>
    <w:p w14:paraId="52CFA70F" w14:textId="77777777" w:rsidR="00BB7E84" w:rsidRPr="00BB7E84" w:rsidRDefault="00BB7E84" w:rsidP="00BB7E84">
      <w:pPr>
        <w:rPr>
          <w:lang w:val="et-EE"/>
        </w:rPr>
      </w:pPr>
    </w:p>
    <w:p w14:paraId="0348D8E6" w14:textId="5DA7D451" w:rsidR="007D3D53" w:rsidRDefault="00445239" w:rsidP="00AC13D0">
      <w:pPr>
        <w:jc w:val="both"/>
        <w:rPr>
          <w:lang w:val="et-EE"/>
        </w:rPr>
      </w:pPr>
      <w:r>
        <w:rPr>
          <w:lang w:val="et-EE"/>
        </w:rPr>
        <w:t xml:space="preserve">Eesmärk </w:t>
      </w:r>
      <w:r w:rsidR="007D3D53" w:rsidRPr="00630C20">
        <w:rPr>
          <w:lang w:val="et-EE"/>
        </w:rPr>
        <w:t xml:space="preserve">I – </w:t>
      </w:r>
      <w:r w:rsidR="00630C20" w:rsidRPr="00630C20">
        <w:rPr>
          <w:lang w:val="et-EE"/>
        </w:rPr>
        <w:t>Spordimuuseum</w:t>
      </w:r>
      <w:r>
        <w:rPr>
          <w:lang w:val="et-EE"/>
        </w:rPr>
        <w:t>is</w:t>
      </w:r>
      <w:r w:rsidR="00630C20" w:rsidRPr="00630C20">
        <w:rPr>
          <w:lang w:val="et-EE"/>
        </w:rPr>
        <w:t xml:space="preserve"> on terviklik ja kaasaegne muuseumi- ja töökeskkond</w:t>
      </w:r>
      <w:r>
        <w:rPr>
          <w:lang w:val="et-EE"/>
        </w:rPr>
        <w:br/>
      </w:r>
      <w:r w:rsidR="007D3D53" w:rsidRPr="00630C20">
        <w:rPr>
          <w:lang w:val="et-EE"/>
        </w:rPr>
        <w:t xml:space="preserve">Eesmärk II – </w:t>
      </w:r>
      <w:r w:rsidR="003A3404" w:rsidRPr="00630C20">
        <w:rPr>
          <w:lang w:val="et-EE"/>
        </w:rPr>
        <w:t xml:space="preserve">Spordimuuseumi lisapinnad on </w:t>
      </w:r>
      <w:r w:rsidR="00AC13D0">
        <w:rPr>
          <w:lang w:val="et-EE"/>
        </w:rPr>
        <w:t xml:space="preserve">kasulikult </w:t>
      </w:r>
      <w:r w:rsidR="00B47DA7">
        <w:rPr>
          <w:lang w:val="et-EE"/>
        </w:rPr>
        <w:t>rakendatud</w:t>
      </w:r>
      <w:r w:rsidR="003A3404" w:rsidRPr="00630C20">
        <w:rPr>
          <w:lang w:val="et-EE"/>
        </w:rPr>
        <w:t xml:space="preserve"> (raamatukogu, siseõu, muinaskelder, tööruumid)</w:t>
      </w:r>
      <w:r w:rsidR="007D3D53" w:rsidRPr="00630C20">
        <w:rPr>
          <w:lang w:val="et-EE"/>
        </w:rPr>
        <w:br/>
        <w:t>Eesmärk III –</w:t>
      </w:r>
      <w:r w:rsidR="003A3404" w:rsidRPr="00630C20">
        <w:rPr>
          <w:lang w:val="et-EE"/>
        </w:rPr>
        <w:t xml:space="preserve"> Muuseumistruktuur on </w:t>
      </w:r>
      <w:r w:rsidR="00AC13D0">
        <w:rPr>
          <w:lang w:val="et-EE"/>
        </w:rPr>
        <w:t>muutustega kooskõlas</w:t>
      </w:r>
      <w:r w:rsidR="003A3404" w:rsidRPr="00630C20">
        <w:rPr>
          <w:lang w:val="et-EE"/>
        </w:rPr>
        <w:t xml:space="preserve"> ja </w:t>
      </w:r>
      <w:r w:rsidR="00AC13D0">
        <w:rPr>
          <w:lang w:val="et-EE"/>
        </w:rPr>
        <w:t xml:space="preserve">töökultuur </w:t>
      </w:r>
      <w:r w:rsidR="003A3404" w:rsidRPr="00630C20">
        <w:rPr>
          <w:lang w:val="et-EE"/>
        </w:rPr>
        <w:t>rakendab maksimaalselt innovaatilisi tööalaseid lahendusi</w:t>
      </w:r>
      <w:r w:rsidR="007D3D53">
        <w:rPr>
          <w:lang w:val="et-EE"/>
        </w:rPr>
        <w:t xml:space="preserve"> </w:t>
      </w:r>
    </w:p>
    <w:p w14:paraId="1CB598FE" w14:textId="77777777" w:rsidR="007D3D53" w:rsidRDefault="007D3D53" w:rsidP="00814F20">
      <w:pPr>
        <w:rPr>
          <w:lang w:val="et-EE"/>
        </w:rPr>
      </w:pPr>
    </w:p>
    <w:p w14:paraId="7DBB0CE8" w14:textId="5B25B39C" w:rsidR="007D3D53" w:rsidRDefault="0047645D" w:rsidP="007D3D53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D3D53" w:rsidRPr="00EE2548">
        <w:rPr>
          <w:sz w:val="28"/>
          <w:lang w:val="et-EE"/>
        </w:rPr>
        <w:t xml:space="preserve">: </w:t>
      </w:r>
      <w:r w:rsidR="007D3D53">
        <w:rPr>
          <w:sz w:val="28"/>
          <w:lang w:val="et-EE"/>
        </w:rPr>
        <w:t>Infrastruktuur</w:t>
      </w:r>
    </w:p>
    <w:p w14:paraId="0BEB1FD0" w14:textId="77777777" w:rsidR="00630C20" w:rsidRDefault="00630C20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Spordimuuseumi uus püsiekspositsioon ühendab terve muuseumiküla</w:t>
      </w:r>
      <w:r w:rsidR="00D07923">
        <w:rPr>
          <w:lang w:val="et-EE"/>
        </w:rPr>
        <w:t>s</w:t>
      </w:r>
      <w:r>
        <w:rPr>
          <w:lang w:val="et-EE"/>
        </w:rPr>
        <w:t xml:space="preserve">tuse läbi kahe korruse üheks tervikuks </w:t>
      </w:r>
    </w:p>
    <w:p w14:paraId="56302808" w14:textId="0B8A0997" w:rsidR="007D3D53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Spordimuuseumi raamatukogu lugemisaal ja väike koosolekuruum on välja arendatud multifunktsionaalseks ruumiks, kus toimuvad muuhulgas erinevad k</w:t>
      </w:r>
      <w:r w:rsidR="003D1A04">
        <w:rPr>
          <w:lang w:val="et-EE"/>
        </w:rPr>
        <w:t>oolitused ja muud üritused (2019</w:t>
      </w:r>
      <w:bookmarkStart w:id="0" w:name="_GoBack"/>
      <w:bookmarkEnd w:id="0"/>
      <w:r>
        <w:rPr>
          <w:lang w:val="et-EE"/>
        </w:rPr>
        <w:t>)</w:t>
      </w:r>
    </w:p>
    <w:p w14:paraId="107CA0F6" w14:textId="446E0273" w:rsidR="00AD57D8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Spordimuuseumi IV korruse kasutamata kabine</w:t>
      </w:r>
      <w:r w:rsidR="00336B15">
        <w:rPr>
          <w:lang w:val="et-EE"/>
        </w:rPr>
        <w:t>t</w:t>
      </w:r>
      <w:r>
        <w:rPr>
          <w:lang w:val="et-EE"/>
        </w:rPr>
        <w:t xml:space="preserve">id on välja arendatud renditavateks ajutisteks tööruumideks </w:t>
      </w:r>
      <w:r w:rsidR="00057682">
        <w:rPr>
          <w:lang w:val="et-EE"/>
        </w:rPr>
        <w:t xml:space="preserve">uurijatele ja </w:t>
      </w:r>
      <w:r>
        <w:rPr>
          <w:lang w:val="et-EE"/>
        </w:rPr>
        <w:t>spordiorganisatsioonidele (2018)</w:t>
      </w:r>
    </w:p>
    <w:p w14:paraId="1837BFFB" w14:textId="77777777" w:rsidR="00AD57D8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Spordimuuseumi siseõu on lisaväärtuseks muuseumikeskkonnale (lisategevused ja teenused või koostööpartneri kohvik) (2018)</w:t>
      </w:r>
    </w:p>
    <w:p w14:paraId="2DCCC605" w14:textId="77777777" w:rsidR="00AD57D8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Spordimuuseumi muinaskelder on koostöös partneritega rakendusse võetud (põgenemistoa teenus vms) (2018)</w:t>
      </w:r>
    </w:p>
    <w:p w14:paraId="23D56C62" w14:textId="7618D95B" w:rsidR="00AD57D8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Muuseumipood on välja arendatud unikaalseks spordipoeks, mis pakub meeneid, s</w:t>
      </w:r>
      <w:r w:rsidR="00B47DA7">
        <w:rPr>
          <w:lang w:val="et-EE"/>
        </w:rPr>
        <w:t>pordikirjandust, rahvuskoondiste atribuutikat</w:t>
      </w:r>
      <w:r>
        <w:rPr>
          <w:lang w:val="et-EE"/>
        </w:rPr>
        <w:t>, ajaloolisi esemeid ja palju muud (2018)</w:t>
      </w:r>
    </w:p>
    <w:p w14:paraId="4DABB8C7" w14:textId="31F68C73" w:rsidR="00AD57D8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Koostöös RKAS-ga on järjepidevalt parandatud muuseumikeskkonda (</w:t>
      </w:r>
      <w:r w:rsidR="00DE773C">
        <w:rPr>
          <w:lang w:val="et-EE"/>
        </w:rPr>
        <w:t xml:space="preserve">sh. </w:t>
      </w:r>
      <w:r>
        <w:rPr>
          <w:lang w:val="et-EE"/>
        </w:rPr>
        <w:t>tualettruumid, tööruumid, avalik keskkond)</w:t>
      </w:r>
    </w:p>
    <w:p w14:paraId="5A4A1813" w14:textId="0F8AB8E1" w:rsidR="00AD57D8" w:rsidRPr="00DE773C" w:rsidRDefault="00AD57D8" w:rsidP="00AD57D8">
      <w:pPr>
        <w:pStyle w:val="ListParagraph"/>
        <w:numPr>
          <w:ilvl w:val="0"/>
          <w:numId w:val="4"/>
        </w:numPr>
        <w:jc w:val="both"/>
        <w:rPr>
          <w:lang w:val="et-EE"/>
        </w:rPr>
      </w:pPr>
      <w:r w:rsidRPr="00DE773C">
        <w:rPr>
          <w:lang w:val="et-EE"/>
        </w:rPr>
        <w:t>Muuseumil on toimiv IT partner, kellega koostöös tagatakse järjepidev toimimine</w:t>
      </w:r>
      <w:r w:rsidR="00DE773C" w:rsidRPr="00DE773C">
        <w:rPr>
          <w:lang w:val="et-EE"/>
        </w:rPr>
        <w:t xml:space="preserve"> </w:t>
      </w:r>
      <w:r w:rsidR="00DE773C">
        <w:rPr>
          <w:lang w:val="et-EE"/>
        </w:rPr>
        <w:t xml:space="preserve">ning </w:t>
      </w:r>
      <w:r w:rsidRPr="00DE773C">
        <w:rPr>
          <w:lang w:val="et-EE"/>
        </w:rPr>
        <w:t xml:space="preserve">uus </w:t>
      </w:r>
      <w:r w:rsidR="00B47DA7" w:rsidRPr="00DE773C">
        <w:rPr>
          <w:lang w:val="et-EE"/>
        </w:rPr>
        <w:t xml:space="preserve">kaasaegne </w:t>
      </w:r>
      <w:r w:rsidR="00B921F9">
        <w:rPr>
          <w:lang w:val="et-EE"/>
        </w:rPr>
        <w:t>kassa</w:t>
      </w:r>
      <w:r w:rsidRPr="00DE773C">
        <w:rPr>
          <w:lang w:val="et-EE"/>
        </w:rPr>
        <w:t>pidamistarkvara (2018)</w:t>
      </w:r>
    </w:p>
    <w:p w14:paraId="678A6C8A" w14:textId="77777777" w:rsidR="00E53C57" w:rsidRPr="00F67F44" w:rsidRDefault="00E53C57" w:rsidP="00E53C57">
      <w:pPr>
        <w:rPr>
          <w:i/>
        </w:rPr>
      </w:pPr>
    </w:p>
    <w:p w14:paraId="4472C997" w14:textId="4DAB4D79" w:rsidR="007D3D53" w:rsidRDefault="0047645D" w:rsidP="007D3D53">
      <w:pPr>
        <w:pStyle w:val="Heading4"/>
        <w:rPr>
          <w:sz w:val="28"/>
          <w:lang w:val="et-EE"/>
        </w:rPr>
      </w:pPr>
      <w:r>
        <w:rPr>
          <w:sz w:val="28"/>
          <w:lang w:val="et-EE"/>
        </w:rPr>
        <w:t>Meede</w:t>
      </w:r>
      <w:r w:rsidR="007D3D53" w:rsidRPr="00EE2548">
        <w:rPr>
          <w:sz w:val="28"/>
          <w:lang w:val="et-EE"/>
        </w:rPr>
        <w:t xml:space="preserve">: </w:t>
      </w:r>
      <w:r w:rsidR="007D3D53">
        <w:rPr>
          <w:sz w:val="28"/>
          <w:lang w:val="et-EE"/>
        </w:rPr>
        <w:t>Organisatsioon</w:t>
      </w:r>
    </w:p>
    <w:p w14:paraId="02AC8F6F" w14:textId="4A3DCD43" w:rsidR="008E5AE9" w:rsidRDefault="008E5AE9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Tehniliste ja töökorralduslike lahenduste kasutuselevõtt (SLACK, osaline kaugtöö, videokonverentsid jms. ) tingib paindlikuma juh</w:t>
      </w:r>
      <w:r w:rsidR="005535E5">
        <w:rPr>
          <w:lang w:val="et-EE"/>
        </w:rPr>
        <w:t>t</w:t>
      </w:r>
      <w:r>
        <w:rPr>
          <w:lang w:val="et-EE"/>
        </w:rPr>
        <w:t>imise ja efektiivsema töö</w:t>
      </w:r>
    </w:p>
    <w:p w14:paraId="3107462E" w14:textId="77777777" w:rsidR="00CF0A95" w:rsidRDefault="008E5AE9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Iga</w:t>
      </w:r>
      <w:r w:rsidR="005535E5">
        <w:rPr>
          <w:lang w:val="et-EE"/>
        </w:rPr>
        <w:t>-a</w:t>
      </w:r>
      <w:r>
        <w:rPr>
          <w:lang w:val="et-EE"/>
        </w:rPr>
        <w:t>astane korraline struktuuri ülevaatus tagab eelduseks arengu jätkumiseks</w:t>
      </w:r>
    </w:p>
    <w:p w14:paraId="7F1C16AB" w14:textId="77777777" w:rsidR="007359FA" w:rsidRDefault="007359FA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Koolitusprogrammi väljatöötamine kollektiivi mitmekesiseks arenguks</w:t>
      </w:r>
    </w:p>
    <w:p w14:paraId="739EABA8" w14:textId="77777777" w:rsidR="00E05BB6" w:rsidRDefault="00E05BB6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Erinevate valdkondade töötajad on kujunenud oma valdkonna ekspertideks Eesti ja võimalusel rah</w:t>
      </w:r>
      <w:r w:rsidR="005535E5">
        <w:rPr>
          <w:lang w:val="et-EE"/>
        </w:rPr>
        <w:t>v</w:t>
      </w:r>
      <w:r>
        <w:rPr>
          <w:lang w:val="et-EE"/>
        </w:rPr>
        <w:t>usvahelisel tasandil</w:t>
      </w:r>
    </w:p>
    <w:p w14:paraId="292C50E1" w14:textId="77777777" w:rsidR="008E5AE9" w:rsidRPr="008E5AE9" w:rsidRDefault="008E5AE9" w:rsidP="007A5A90">
      <w:pPr>
        <w:pStyle w:val="ListParagraph"/>
        <w:numPr>
          <w:ilvl w:val="0"/>
          <w:numId w:val="4"/>
        </w:numPr>
        <w:jc w:val="both"/>
        <w:rPr>
          <w:lang w:val="et-EE"/>
        </w:rPr>
      </w:pPr>
      <w:r>
        <w:rPr>
          <w:lang w:val="et-EE"/>
        </w:rPr>
        <w:t>2018. aastal toimub spordimuuseumi asutamise 55. aastapäeva väärikas tähistamine</w:t>
      </w:r>
    </w:p>
    <w:p w14:paraId="2427A387" w14:textId="77777777" w:rsidR="00F44944" w:rsidRDefault="00F44944" w:rsidP="00814F20">
      <w:pPr>
        <w:rPr>
          <w:lang w:val="et-EE"/>
        </w:rPr>
      </w:pPr>
    </w:p>
    <w:p w14:paraId="1FB93914" w14:textId="77777777" w:rsidR="00742FEA" w:rsidRDefault="00742FEA">
      <w:pPr>
        <w:rPr>
          <w:rFonts w:asciiTheme="majorHAnsi" w:eastAsiaTheme="majorEastAsia" w:hAnsiTheme="majorHAnsi" w:cstheme="majorBidi"/>
          <w:caps/>
          <w:color w:val="44546A" w:themeColor="text2"/>
          <w:spacing w:val="-15"/>
          <w:sz w:val="72"/>
          <w:szCs w:val="72"/>
          <w:lang w:val="et-EE"/>
        </w:rPr>
      </w:pPr>
      <w:r>
        <w:rPr>
          <w:lang w:val="et-EE"/>
        </w:rPr>
        <w:br w:type="page"/>
      </w:r>
    </w:p>
    <w:p w14:paraId="1FCF6F3D" w14:textId="77777777" w:rsidR="00023442" w:rsidRDefault="00725FDA" w:rsidP="00023442">
      <w:pPr>
        <w:pStyle w:val="Title"/>
        <w:rPr>
          <w:lang w:val="et-EE"/>
        </w:rPr>
      </w:pPr>
      <w:r>
        <w:rPr>
          <w:lang w:val="et-EE"/>
        </w:rPr>
        <w:lastRenderedPageBreak/>
        <w:t>ARVULISED EESMÄRGID</w:t>
      </w:r>
    </w:p>
    <w:p w14:paraId="73EB28C3" w14:textId="77777777" w:rsidR="00F91679" w:rsidRDefault="00F91679" w:rsidP="00F91679">
      <w:pPr>
        <w:rPr>
          <w:lang w:val="et-EE"/>
        </w:rPr>
      </w:pPr>
    </w:p>
    <w:p w14:paraId="1F87A41F" w14:textId="77777777" w:rsidR="00AC70C7" w:rsidRDefault="00AC70C7" w:rsidP="00F91679">
      <w:pPr>
        <w:rPr>
          <w:lang w:val="et-EE"/>
        </w:rPr>
      </w:pPr>
    </w:p>
    <w:p w14:paraId="31B006AA" w14:textId="77777777" w:rsidR="00E53C57" w:rsidRDefault="00E53C57" w:rsidP="00F91679">
      <w:pPr>
        <w:rPr>
          <w:lang w:val="et-EE"/>
        </w:rPr>
      </w:pPr>
    </w:p>
    <w:tbl>
      <w:tblPr>
        <w:tblStyle w:val="TableGrid"/>
        <w:tblpPr w:leftFromText="180" w:rightFromText="180" w:vertAnchor="text" w:horzAnchor="margin" w:tblpXSpec="center" w:tblpY="616"/>
        <w:tblOverlap w:val="never"/>
        <w:tblW w:w="10675" w:type="dxa"/>
        <w:tblLook w:val="04A0" w:firstRow="1" w:lastRow="0" w:firstColumn="1" w:lastColumn="0" w:noHBand="0" w:noVBand="1"/>
      </w:tblPr>
      <w:tblGrid>
        <w:gridCol w:w="1924"/>
        <w:gridCol w:w="973"/>
        <w:gridCol w:w="970"/>
        <w:gridCol w:w="971"/>
        <w:gridCol w:w="972"/>
        <w:gridCol w:w="973"/>
        <w:gridCol w:w="973"/>
        <w:gridCol w:w="973"/>
        <w:gridCol w:w="973"/>
        <w:gridCol w:w="973"/>
      </w:tblGrid>
      <w:tr w:rsidR="00956A60" w14:paraId="17EB1471" w14:textId="77777777" w:rsidTr="004C1019">
        <w:trPr>
          <w:trHeight w:val="348"/>
        </w:trPr>
        <w:tc>
          <w:tcPr>
            <w:tcW w:w="10675" w:type="dxa"/>
            <w:gridSpan w:val="10"/>
          </w:tcPr>
          <w:p w14:paraId="48FC7396" w14:textId="77777777" w:rsidR="00956A60" w:rsidRDefault="00956A60" w:rsidP="00956A60">
            <w:pPr>
              <w:rPr>
                <w:noProof/>
              </w:rPr>
            </w:pPr>
          </w:p>
        </w:tc>
      </w:tr>
      <w:tr w:rsidR="00D907B2" w14:paraId="35418C73" w14:textId="77777777" w:rsidTr="00EC6BF9">
        <w:trPr>
          <w:trHeight w:val="325"/>
        </w:trPr>
        <w:tc>
          <w:tcPr>
            <w:tcW w:w="1924" w:type="dxa"/>
            <w:shd w:val="clear" w:color="auto" w:fill="9CC2E5" w:themeFill="accent1" w:themeFillTint="99"/>
          </w:tcPr>
          <w:p w14:paraId="307BE973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Aasta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1CB7B5AC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2014</w:t>
            </w:r>
          </w:p>
        </w:tc>
        <w:tc>
          <w:tcPr>
            <w:tcW w:w="970" w:type="dxa"/>
            <w:shd w:val="clear" w:color="auto" w:fill="9CC2E5" w:themeFill="accent1" w:themeFillTint="99"/>
          </w:tcPr>
          <w:p w14:paraId="4EC1599B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2015</w:t>
            </w:r>
          </w:p>
        </w:tc>
        <w:tc>
          <w:tcPr>
            <w:tcW w:w="971" w:type="dxa"/>
            <w:shd w:val="clear" w:color="auto" w:fill="9CC2E5" w:themeFill="accent1" w:themeFillTint="99"/>
          </w:tcPr>
          <w:p w14:paraId="6A976C24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2016</w:t>
            </w:r>
          </w:p>
        </w:tc>
        <w:tc>
          <w:tcPr>
            <w:tcW w:w="972" w:type="dxa"/>
            <w:shd w:val="clear" w:color="auto" w:fill="9CC2E5" w:themeFill="accent1" w:themeFillTint="99"/>
          </w:tcPr>
          <w:p w14:paraId="4E1CA34E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2017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3BB1B556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2018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2B868174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2019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6221177B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2020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2A8EA972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2021</w:t>
            </w:r>
          </w:p>
        </w:tc>
        <w:tc>
          <w:tcPr>
            <w:tcW w:w="973" w:type="dxa"/>
            <w:shd w:val="clear" w:color="auto" w:fill="9CC2E5" w:themeFill="accent1" w:themeFillTint="99"/>
          </w:tcPr>
          <w:p w14:paraId="3E073323" w14:textId="77777777" w:rsidR="00956A60" w:rsidRPr="00956A60" w:rsidRDefault="00956A60" w:rsidP="00956A60">
            <w:pPr>
              <w:jc w:val="center"/>
              <w:rPr>
                <w:b/>
                <w:noProof/>
                <w:color w:val="000000" w:themeColor="text1"/>
              </w:rPr>
            </w:pPr>
            <w:r w:rsidRPr="00956A60">
              <w:rPr>
                <w:b/>
                <w:noProof/>
                <w:color w:val="000000" w:themeColor="text1"/>
              </w:rPr>
              <w:t>2022</w:t>
            </w:r>
          </w:p>
        </w:tc>
      </w:tr>
      <w:tr w:rsidR="00E12863" w14:paraId="43440FE1" w14:textId="77777777" w:rsidTr="00EC6BF9">
        <w:trPr>
          <w:trHeight w:val="348"/>
        </w:trPr>
        <w:tc>
          <w:tcPr>
            <w:tcW w:w="1924" w:type="dxa"/>
          </w:tcPr>
          <w:p w14:paraId="2EB5DD3D" w14:textId="77777777" w:rsidR="00956A60" w:rsidRPr="00956A60" w:rsidRDefault="00956A60" w:rsidP="00956A60">
            <w:pPr>
              <w:jc w:val="center"/>
              <w:rPr>
                <w:b/>
                <w:noProof/>
              </w:rPr>
            </w:pPr>
            <w:r w:rsidRPr="00956A60">
              <w:rPr>
                <w:b/>
                <w:noProof/>
              </w:rPr>
              <w:t>Piletiga külastajate arvu muutuse prognoos</w:t>
            </w:r>
          </w:p>
        </w:tc>
        <w:tc>
          <w:tcPr>
            <w:tcW w:w="973" w:type="dxa"/>
            <w:vAlign w:val="center"/>
          </w:tcPr>
          <w:p w14:paraId="11F52F40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5 576</w:t>
            </w:r>
          </w:p>
        </w:tc>
        <w:tc>
          <w:tcPr>
            <w:tcW w:w="970" w:type="dxa"/>
            <w:vAlign w:val="center"/>
          </w:tcPr>
          <w:p w14:paraId="062265AC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4 301</w:t>
            </w:r>
          </w:p>
        </w:tc>
        <w:tc>
          <w:tcPr>
            <w:tcW w:w="971" w:type="dxa"/>
            <w:vAlign w:val="center"/>
          </w:tcPr>
          <w:p w14:paraId="70A32C88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6 133</w:t>
            </w:r>
          </w:p>
        </w:tc>
        <w:tc>
          <w:tcPr>
            <w:tcW w:w="972" w:type="dxa"/>
            <w:vAlign w:val="center"/>
          </w:tcPr>
          <w:p w14:paraId="3EF04E53" w14:textId="0A183E3C" w:rsidR="00F51D36" w:rsidRPr="004E0E8E" w:rsidRDefault="00967263" w:rsidP="00F51D3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88</w:t>
            </w:r>
            <w:r w:rsidR="00F51D36">
              <w:rPr>
                <w:b/>
                <w:noProof/>
              </w:rPr>
              <w:t>00</w:t>
            </w:r>
          </w:p>
        </w:tc>
        <w:tc>
          <w:tcPr>
            <w:tcW w:w="973" w:type="dxa"/>
            <w:vAlign w:val="center"/>
          </w:tcPr>
          <w:p w14:paraId="23F995CE" w14:textId="5E413DEA" w:rsidR="00F51D36" w:rsidRPr="00E92D9C" w:rsidRDefault="00967263" w:rsidP="00F51D36">
            <w:pPr>
              <w:jc w:val="center"/>
              <w:rPr>
                <w:noProof/>
              </w:rPr>
            </w:pPr>
            <w:r>
              <w:rPr>
                <w:noProof/>
              </w:rPr>
              <w:t>10 500</w:t>
            </w:r>
          </w:p>
        </w:tc>
        <w:tc>
          <w:tcPr>
            <w:tcW w:w="973" w:type="dxa"/>
            <w:vAlign w:val="center"/>
          </w:tcPr>
          <w:p w14:paraId="38F4B689" w14:textId="40EC4B99" w:rsidR="00956A60" w:rsidRPr="00E92D9C" w:rsidRDefault="00967263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12 300</w:t>
            </w:r>
          </w:p>
        </w:tc>
        <w:tc>
          <w:tcPr>
            <w:tcW w:w="973" w:type="dxa"/>
            <w:vAlign w:val="center"/>
          </w:tcPr>
          <w:p w14:paraId="1F0B702D" w14:textId="2492FC5A" w:rsidR="00956A60" w:rsidRPr="00E92D9C" w:rsidRDefault="00967263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14 000</w:t>
            </w:r>
          </w:p>
        </w:tc>
        <w:tc>
          <w:tcPr>
            <w:tcW w:w="973" w:type="dxa"/>
            <w:vAlign w:val="center"/>
          </w:tcPr>
          <w:p w14:paraId="14DB2FFD" w14:textId="19A00DD4" w:rsidR="00956A60" w:rsidRPr="00E92D9C" w:rsidRDefault="00967263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15 800</w:t>
            </w:r>
          </w:p>
        </w:tc>
        <w:tc>
          <w:tcPr>
            <w:tcW w:w="973" w:type="dxa"/>
            <w:vAlign w:val="center"/>
          </w:tcPr>
          <w:p w14:paraId="37CCB4E2" w14:textId="0ECAC6EA" w:rsidR="00956A60" w:rsidRPr="00E92D9C" w:rsidRDefault="00967263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17 500</w:t>
            </w:r>
          </w:p>
        </w:tc>
      </w:tr>
      <w:tr w:rsidR="00E12863" w14:paraId="10E04C1B" w14:textId="77777777" w:rsidTr="00EC6BF9">
        <w:trPr>
          <w:trHeight w:val="348"/>
        </w:trPr>
        <w:tc>
          <w:tcPr>
            <w:tcW w:w="1924" w:type="dxa"/>
          </w:tcPr>
          <w:p w14:paraId="2521F30C" w14:textId="2E39644C" w:rsidR="00956A60" w:rsidRPr="00956A60" w:rsidRDefault="00956A60" w:rsidP="00956A60">
            <w:pPr>
              <w:jc w:val="center"/>
              <w:rPr>
                <w:b/>
                <w:noProof/>
              </w:rPr>
            </w:pPr>
            <w:r w:rsidRPr="00956A60">
              <w:rPr>
                <w:b/>
                <w:noProof/>
              </w:rPr>
              <w:t>Omatulu muutuse prognoos</w:t>
            </w:r>
          </w:p>
        </w:tc>
        <w:tc>
          <w:tcPr>
            <w:tcW w:w="973" w:type="dxa"/>
            <w:vAlign w:val="center"/>
          </w:tcPr>
          <w:p w14:paraId="2275D1B4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23 034</w:t>
            </w:r>
          </w:p>
        </w:tc>
        <w:tc>
          <w:tcPr>
            <w:tcW w:w="970" w:type="dxa"/>
            <w:vAlign w:val="center"/>
          </w:tcPr>
          <w:p w14:paraId="1CFA9EAA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17 522</w:t>
            </w:r>
          </w:p>
        </w:tc>
        <w:tc>
          <w:tcPr>
            <w:tcW w:w="971" w:type="dxa"/>
            <w:vAlign w:val="center"/>
          </w:tcPr>
          <w:p w14:paraId="55A5A30B" w14:textId="77777777" w:rsidR="00956A60" w:rsidRPr="00E92D9C" w:rsidRDefault="00956A60" w:rsidP="00956A60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24 195</w:t>
            </w:r>
          </w:p>
        </w:tc>
        <w:tc>
          <w:tcPr>
            <w:tcW w:w="972" w:type="dxa"/>
            <w:vAlign w:val="center"/>
          </w:tcPr>
          <w:p w14:paraId="4E6CBB2E" w14:textId="77777777" w:rsidR="00956A60" w:rsidRPr="004E0E8E" w:rsidRDefault="00956A60" w:rsidP="00956A60">
            <w:pPr>
              <w:jc w:val="center"/>
              <w:rPr>
                <w:b/>
                <w:noProof/>
              </w:rPr>
            </w:pPr>
            <w:r w:rsidRPr="004E0E8E">
              <w:rPr>
                <w:b/>
                <w:noProof/>
              </w:rPr>
              <w:t>50 000</w:t>
            </w:r>
          </w:p>
        </w:tc>
        <w:tc>
          <w:tcPr>
            <w:tcW w:w="973" w:type="dxa"/>
            <w:vAlign w:val="center"/>
          </w:tcPr>
          <w:p w14:paraId="3C55B9EA" w14:textId="01C53B55" w:rsidR="00956A60" w:rsidRPr="00E92D9C" w:rsidRDefault="00EC6BF9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60 000</w:t>
            </w:r>
          </w:p>
        </w:tc>
        <w:tc>
          <w:tcPr>
            <w:tcW w:w="973" w:type="dxa"/>
            <w:vAlign w:val="center"/>
          </w:tcPr>
          <w:p w14:paraId="3FCA168E" w14:textId="76BD6EB9" w:rsidR="00956A60" w:rsidRPr="00E92D9C" w:rsidRDefault="00EC6BF9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70 000</w:t>
            </w:r>
          </w:p>
        </w:tc>
        <w:tc>
          <w:tcPr>
            <w:tcW w:w="973" w:type="dxa"/>
            <w:vAlign w:val="center"/>
          </w:tcPr>
          <w:p w14:paraId="46D0298A" w14:textId="2C54B533" w:rsidR="00956A60" w:rsidRPr="00E92D9C" w:rsidRDefault="00EC6BF9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80 000</w:t>
            </w:r>
          </w:p>
        </w:tc>
        <w:tc>
          <w:tcPr>
            <w:tcW w:w="973" w:type="dxa"/>
            <w:vAlign w:val="center"/>
          </w:tcPr>
          <w:p w14:paraId="3AD678D0" w14:textId="5CF406E2" w:rsidR="00956A60" w:rsidRPr="00E92D9C" w:rsidRDefault="00EC6BF9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90 000</w:t>
            </w:r>
          </w:p>
        </w:tc>
        <w:tc>
          <w:tcPr>
            <w:tcW w:w="973" w:type="dxa"/>
            <w:vAlign w:val="center"/>
          </w:tcPr>
          <w:p w14:paraId="50E589B2" w14:textId="0A11EC70" w:rsidR="00956A60" w:rsidRPr="00E92D9C" w:rsidRDefault="00EC6BF9" w:rsidP="00956A60">
            <w:pPr>
              <w:jc w:val="center"/>
              <w:rPr>
                <w:noProof/>
              </w:rPr>
            </w:pPr>
            <w:r>
              <w:rPr>
                <w:noProof/>
              </w:rPr>
              <w:t>100 000</w:t>
            </w:r>
          </w:p>
        </w:tc>
      </w:tr>
      <w:tr w:rsidR="00E12863" w14:paraId="16EB34FF" w14:textId="77777777" w:rsidTr="00EC6BF9">
        <w:trPr>
          <w:trHeight w:val="1007"/>
        </w:trPr>
        <w:tc>
          <w:tcPr>
            <w:tcW w:w="1924" w:type="dxa"/>
          </w:tcPr>
          <w:p w14:paraId="2DF30CA2" w14:textId="2AEFDE62" w:rsidR="00544B8F" w:rsidRPr="00956A60" w:rsidRDefault="00544B8F" w:rsidP="005571D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Jälgijate arv sotsiaalmeedias: Facebook</w:t>
            </w:r>
          </w:p>
        </w:tc>
        <w:tc>
          <w:tcPr>
            <w:tcW w:w="973" w:type="dxa"/>
            <w:vAlign w:val="center"/>
          </w:tcPr>
          <w:p w14:paraId="60386829" w14:textId="531B99C6" w:rsidR="00D907B2" w:rsidRPr="00E92D9C" w:rsidRDefault="00D907B2" w:rsidP="00D907B2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1000</w:t>
            </w:r>
          </w:p>
        </w:tc>
        <w:tc>
          <w:tcPr>
            <w:tcW w:w="970" w:type="dxa"/>
            <w:vAlign w:val="center"/>
          </w:tcPr>
          <w:p w14:paraId="6F00C768" w14:textId="6042815A" w:rsidR="00D907B2" w:rsidRPr="00E92D9C" w:rsidRDefault="00D907B2" w:rsidP="00D907B2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1050</w:t>
            </w:r>
          </w:p>
        </w:tc>
        <w:tc>
          <w:tcPr>
            <w:tcW w:w="971" w:type="dxa"/>
            <w:vAlign w:val="center"/>
          </w:tcPr>
          <w:p w14:paraId="0BEECACF" w14:textId="636D63F8" w:rsidR="00544B8F" w:rsidRPr="00E92D9C" w:rsidRDefault="00E92D9C" w:rsidP="00544B8F">
            <w:pPr>
              <w:jc w:val="center"/>
              <w:rPr>
                <w:i/>
                <w:noProof/>
              </w:rPr>
            </w:pPr>
            <w:r w:rsidRPr="00E92D9C">
              <w:rPr>
                <w:i/>
                <w:noProof/>
              </w:rPr>
              <w:t>1100</w:t>
            </w:r>
          </w:p>
        </w:tc>
        <w:tc>
          <w:tcPr>
            <w:tcW w:w="972" w:type="dxa"/>
            <w:vAlign w:val="center"/>
          </w:tcPr>
          <w:p w14:paraId="62E71B93" w14:textId="73D55670" w:rsidR="00E92D9C" w:rsidRPr="00D907B2" w:rsidRDefault="00EC6BF9" w:rsidP="00E92D9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2000</w:t>
            </w:r>
          </w:p>
        </w:tc>
        <w:tc>
          <w:tcPr>
            <w:tcW w:w="973" w:type="dxa"/>
            <w:vAlign w:val="center"/>
          </w:tcPr>
          <w:p w14:paraId="5719AEF7" w14:textId="7AB84CB7" w:rsidR="00544B8F" w:rsidRDefault="00EC6BF9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4000</w:t>
            </w:r>
          </w:p>
        </w:tc>
        <w:tc>
          <w:tcPr>
            <w:tcW w:w="973" w:type="dxa"/>
            <w:vAlign w:val="center"/>
          </w:tcPr>
          <w:p w14:paraId="0F5A2E66" w14:textId="14F93291" w:rsidR="00544B8F" w:rsidRDefault="00EC6BF9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5000</w:t>
            </w:r>
          </w:p>
        </w:tc>
        <w:tc>
          <w:tcPr>
            <w:tcW w:w="973" w:type="dxa"/>
            <w:vAlign w:val="center"/>
          </w:tcPr>
          <w:p w14:paraId="11B2AB6A" w14:textId="53DC71EF" w:rsidR="00544B8F" w:rsidRDefault="00EC6BF9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6000</w:t>
            </w:r>
          </w:p>
        </w:tc>
        <w:tc>
          <w:tcPr>
            <w:tcW w:w="973" w:type="dxa"/>
            <w:vAlign w:val="center"/>
          </w:tcPr>
          <w:p w14:paraId="0E66C95E" w14:textId="1A47354E" w:rsidR="00544B8F" w:rsidRDefault="00EC6BF9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7000</w:t>
            </w:r>
          </w:p>
        </w:tc>
        <w:tc>
          <w:tcPr>
            <w:tcW w:w="973" w:type="dxa"/>
            <w:vAlign w:val="center"/>
          </w:tcPr>
          <w:p w14:paraId="1847D60B" w14:textId="52BA9A9A" w:rsidR="00544B8F" w:rsidRDefault="00EC6BF9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8000</w:t>
            </w:r>
          </w:p>
        </w:tc>
      </w:tr>
      <w:tr w:rsidR="00E92D9C" w14:paraId="61E6F7F4" w14:textId="77777777" w:rsidTr="00EC6BF9">
        <w:trPr>
          <w:trHeight w:val="348"/>
        </w:trPr>
        <w:tc>
          <w:tcPr>
            <w:tcW w:w="1924" w:type="dxa"/>
          </w:tcPr>
          <w:p w14:paraId="7A35D174" w14:textId="0564BD88" w:rsidR="00E92D9C" w:rsidRDefault="00E92D9C" w:rsidP="005571D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Tripadvisor Tartu </w:t>
            </w:r>
            <w:r w:rsidR="00D907B2">
              <w:rPr>
                <w:b/>
                <w:noProof/>
              </w:rPr>
              <w:t xml:space="preserve">vaatamisväärsuste </w:t>
            </w:r>
            <w:r>
              <w:rPr>
                <w:b/>
                <w:noProof/>
              </w:rPr>
              <w:t>edetabelikoht</w:t>
            </w:r>
          </w:p>
        </w:tc>
        <w:tc>
          <w:tcPr>
            <w:tcW w:w="973" w:type="dxa"/>
            <w:vAlign w:val="center"/>
          </w:tcPr>
          <w:p w14:paraId="7DB13BEF" w14:textId="50E68AD1" w:rsidR="00E92D9C" w:rsidRPr="00E92D9C" w:rsidRDefault="00E12863" w:rsidP="00544B8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…</w:t>
            </w:r>
          </w:p>
        </w:tc>
        <w:tc>
          <w:tcPr>
            <w:tcW w:w="970" w:type="dxa"/>
            <w:vAlign w:val="center"/>
          </w:tcPr>
          <w:p w14:paraId="13553624" w14:textId="582C1E51" w:rsidR="00E92D9C" w:rsidRPr="00E92D9C" w:rsidRDefault="00E12863" w:rsidP="00544B8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…</w:t>
            </w:r>
          </w:p>
        </w:tc>
        <w:tc>
          <w:tcPr>
            <w:tcW w:w="971" w:type="dxa"/>
            <w:vAlign w:val="center"/>
          </w:tcPr>
          <w:p w14:paraId="470AAF5C" w14:textId="726935A1" w:rsidR="00E92D9C" w:rsidRPr="00E92D9C" w:rsidRDefault="00D907B2" w:rsidP="00544B8F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68</w:t>
            </w:r>
          </w:p>
        </w:tc>
        <w:tc>
          <w:tcPr>
            <w:tcW w:w="972" w:type="dxa"/>
            <w:vAlign w:val="center"/>
          </w:tcPr>
          <w:p w14:paraId="7FF643AB" w14:textId="5F24D781" w:rsidR="00E92D9C" w:rsidRPr="00D907B2" w:rsidRDefault="00E92D9C" w:rsidP="00544B8F">
            <w:pPr>
              <w:jc w:val="center"/>
              <w:rPr>
                <w:b/>
                <w:noProof/>
              </w:rPr>
            </w:pPr>
            <w:r w:rsidRPr="00D907B2">
              <w:rPr>
                <w:b/>
                <w:noProof/>
              </w:rPr>
              <w:t>36</w:t>
            </w:r>
          </w:p>
        </w:tc>
        <w:tc>
          <w:tcPr>
            <w:tcW w:w="973" w:type="dxa"/>
            <w:vAlign w:val="center"/>
          </w:tcPr>
          <w:p w14:paraId="258F02DD" w14:textId="58905551" w:rsidR="00E92D9C" w:rsidRDefault="00E92D9C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73" w:type="dxa"/>
            <w:vAlign w:val="center"/>
          </w:tcPr>
          <w:p w14:paraId="7A6DA8FB" w14:textId="236C5BE9" w:rsidR="00E92D9C" w:rsidRDefault="00E92D9C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73" w:type="dxa"/>
            <w:vAlign w:val="center"/>
          </w:tcPr>
          <w:p w14:paraId="5BF89713" w14:textId="0F0ED0A4" w:rsidR="00E92D9C" w:rsidRDefault="00E92D9C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73" w:type="dxa"/>
            <w:vAlign w:val="center"/>
          </w:tcPr>
          <w:p w14:paraId="6AC89156" w14:textId="4666D2A2" w:rsidR="00E92D9C" w:rsidRDefault="00E92D9C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73" w:type="dxa"/>
            <w:vAlign w:val="center"/>
          </w:tcPr>
          <w:p w14:paraId="2B7C7D7D" w14:textId="71AB6D63" w:rsidR="00E92D9C" w:rsidRDefault="00E92D9C" w:rsidP="00544B8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14:paraId="24EBE3CF" w14:textId="77777777" w:rsidR="007D6C43" w:rsidRDefault="007D6C43" w:rsidP="00F91679">
      <w:pPr>
        <w:rPr>
          <w:lang w:val="et-EE"/>
        </w:rPr>
      </w:pPr>
    </w:p>
    <w:p w14:paraId="088F3F7D" w14:textId="77777777" w:rsidR="007D6C43" w:rsidRPr="007D6C43" w:rsidRDefault="007D6C43" w:rsidP="00F91679">
      <w:pPr>
        <w:rPr>
          <w:noProof/>
        </w:rPr>
      </w:pPr>
    </w:p>
    <w:p w14:paraId="1B8FFBA3" w14:textId="77777777" w:rsidR="007D6C43" w:rsidRPr="00F91679" w:rsidRDefault="007D6C43" w:rsidP="00F91679">
      <w:pPr>
        <w:rPr>
          <w:lang w:val="et-EE"/>
        </w:rPr>
      </w:pPr>
    </w:p>
    <w:sectPr w:rsidR="007D6C43" w:rsidRPr="00F91679" w:rsidSect="00F24455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355"/>
    <w:multiLevelType w:val="hybridMultilevel"/>
    <w:tmpl w:val="76EC991A"/>
    <w:lvl w:ilvl="0" w:tplc="E118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4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2E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2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63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8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4A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A1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E3782"/>
    <w:multiLevelType w:val="hybridMultilevel"/>
    <w:tmpl w:val="4702940E"/>
    <w:lvl w:ilvl="0" w:tplc="A1C81468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3ED3"/>
    <w:multiLevelType w:val="hybridMultilevel"/>
    <w:tmpl w:val="A8703C5C"/>
    <w:lvl w:ilvl="0" w:tplc="A1C81468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9EA"/>
    <w:multiLevelType w:val="hybridMultilevel"/>
    <w:tmpl w:val="19C614A8"/>
    <w:lvl w:ilvl="0" w:tplc="FF10B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3268"/>
    <w:multiLevelType w:val="hybridMultilevel"/>
    <w:tmpl w:val="E638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5815"/>
    <w:multiLevelType w:val="hybridMultilevel"/>
    <w:tmpl w:val="E0526F28"/>
    <w:lvl w:ilvl="0" w:tplc="DA5ED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3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E3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9CD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6A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4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8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CD47A5"/>
    <w:multiLevelType w:val="hybridMultilevel"/>
    <w:tmpl w:val="8BDCF3B6"/>
    <w:lvl w:ilvl="0" w:tplc="FF10B9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77F0"/>
    <w:multiLevelType w:val="hybridMultilevel"/>
    <w:tmpl w:val="E310777C"/>
    <w:lvl w:ilvl="0" w:tplc="6FE0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C7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43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E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49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89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0B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1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8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2D34DC"/>
    <w:multiLevelType w:val="hybridMultilevel"/>
    <w:tmpl w:val="4CF0FD44"/>
    <w:lvl w:ilvl="0" w:tplc="A1C81468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62"/>
    <w:rsid w:val="00011928"/>
    <w:rsid w:val="00023442"/>
    <w:rsid w:val="00047C57"/>
    <w:rsid w:val="00057682"/>
    <w:rsid w:val="000638AB"/>
    <w:rsid w:val="000753F9"/>
    <w:rsid w:val="000F75CC"/>
    <w:rsid w:val="00190F00"/>
    <w:rsid w:val="001B3885"/>
    <w:rsid w:val="001C502F"/>
    <w:rsid w:val="001D22E7"/>
    <w:rsid w:val="001E0350"/>
    <w:rsid w:val="001F1E60"/>
    <w:rsid w:val="00201BC2"/>
    <w:rsid w:val="00210E3C"/>
    <w:rsid w:val="00253236"/>
    <w:rsid w:val="002B39DF"/>
    <w:rsid w:val="00303852"/>
    <w:rsid w:val="003050A5"/>
    <w:rsid w:val="003145EB"/>
    <w:rsid w:val="00336B15"/>
    <w:rsid w:val="003456D5"/>
    <w:rsid w:val="00375AB8"/>
    <w:rsid w:val="003A0D89"/>
    <w:rsid w:val="003A3404"/>
    <w:rsid w:val="003D1A04"/>
    <w:rsid w:val="003E350C"/>
    <w:rsid w:val="003F1016"/>
    <w:rsid w:val="00412B7C"/>
    <w:rsid w:val="0043684D"/>
    <w:rsid w:val="00445239"/>
    <w:rsid w:val="0047645D"/>
    <w:rsid w:val="004B7372"/>
    <w:rsid w:val="004C1798"/>
    <w:rsid w:val="004C74EE"/>
    <w:rsid w:val="004D4636"/>
    <w:rsid w:val="004E0E8E"/>
    <w:rsid w:val="004F4326"/>
    <w:rsid w:val="0050214E"/>
    <w:rsid w:val="00510678"/>
    <w:rsid w:val="005211B0"/>
    <w:rsid w:val="005359F4"/>
    <w:rsid w:val="00544B8F"/>
    <w:rsid w:val="005535E5"/>
    <w:rsid w:val="005571D7"/>
    <w:rsid w:val="00580BFA"/>
    <w:rsid w:val="00584B51"/>
    <w:rsid w:val="005B1040"/>
    <w:rsid w:val="00630C20"/>
    <w:rsid w:val="00660A5A"/>
    <w:rsid w:val="006749C1"/>
    <w:rsid w:val="006A3F56"/>
    <w:rsid w:val="006C57F7"/>
    <w:rsid w:val="00725FDA"/>
    <w:rsid w:val="00732E5E"/>
    <w:rsid w:val="007359FA"/>
    <w:rsid w:val="007360A4"/>
    <w:rsid w:val="00742FEA"/>
    <w:rsid w:val="00746669"/>
    <w:rsid w:val="007529B4"/>
    <w:rsid w:val="007A5A90"/>
    <w:rsid w:val="007C0799"/>
    <w:rsid w:val="007C51ED"/>
    <w:rsid w:val="007D3D53"/>
    <w:rsid w:val="007D6C43"/>
    <w:rsid w:val="007E47AB"/>
    <w:rsid w:val="00814F20"/>
    <w:rsid w:val="00824263"/>
    <w:rsid w:val="0086362B"/>
    <w:rsid w:val="00865712"/>
    <w:rsid w:val="00865978"/>
    <w:rsid w:val="008810E4"/>
    <w:rsid w:val="0089405E"/>
    <w:rsid w:val="008B4954"/>
    <w:rsid w:val="008B72E3"/>
    <w:rsid w:val="008C396B"/>
    <w:rsid w:val="008E5AE9"/>
    <w:rsid w:val="008E7D07"/>
    <w:rsid w:val="00931BB2"/>
    <w:rsid w:val="00936C0F"/>
    <w:rsid w:val="00956A60"/>
    <w:rsid w:val="00967263"/>
    <w:rsid w:val="00972E84"/>
    <w:rsid w:val="009E65DE"/>
    <w:rsid w:val="00A016AF"/>
    <w:rsid w:val="00A11517"/>
    <w:rsid w:val="00AC13D0"/>
    <w:rsid w:val="00AC70C7"/>
    <w:rsid w:val="00AD57D8"/>
    <w:rsid w:val="00B05619"/>
    <w:rsid w:val="00B47DA7"/>
    <w:rsid w:val="00B921F9"/>
    <w:rsid w:val="00BB1B94"/>
    <w:rsid w:val="00BB6A42"/>
    <w:rsid w:val="00BB7468"/>
    <w:rsid w:val="00BB7E84"/>
    <w:rsid w:val="00C06BC0"/>
    <w:rsid w:val="00C10113"/>
    <w:rsid w:val="00C27EC7"/>
    <w:rsid w:val="00C316B6"/>
    <w:rsid w:val="00C426E6"/>
    <w:rsid w:val="00C7606D"/>
    <w:rsid w:val="00C81340"/>
    <w:rsid w:val="00CD7BF2"/>
    <w:rsid w:val="00CF01AF"/>
    <w:rsid w:val="00CF0A95"/>
    <w:rsid w:val="00D06807"/>
    <w:rsid w:val="00D07923"/>
    <w:rsid w:val="00D42A81"/>
    <w:rsid w:val="00D54A61"/>
    <w:rsid w:val="00D649DF"/>
    <w:rsid w:val="00D907B2"/>
    <w:rsid w:val="00DA4D93"/>
    <w:rsid w:val="00DE773C"/>
    <w:rsid w:val="00DF69D5"/>
    <w:rsid w:val="00E05BB6"/>
    <w:rsid w:val="00E12863"/>
    <w:rsid w:val="00E13730"/>
    <w:rsid w:val="00E172F1"/>
    <w:rsid w:val="00E31280"/>
    <w:rsid w:val="00E45662"/>
    <w:rsid w:val="00E53C57"/>
    <w:rsid w:val="00E85EDF"/>
    <w:rsid w:val="00E875BD"/>
    <w:rsid w:val="00E92D9C"/>
    <w:rsid w:val="00E956FE"/>
    <w:rsid w:val="00EC6BF9"/>
    <w:rsid w:val="00ED0F2B"/>
    <w:rsid w:val="00EE2548"/>
    <w:rsid w:val="00F11E95"/>
    <w:rsid w:val="00F24455"/>
    <w:rsid w:val="00F35590"/>
    <w:rsid w:val="00F43D14"/>
    <w:rsid w:val="00F44944"/>
    <w:rsid w:val="00F51D36"/>
    <w:rsid w:val="00F67358"/>
    <w:rsid w:val="00F67F44"/>
    <w:rsid w:val="00F91679"/>
    <w:rsid w:val="00FB1220"/>
    <w:rsid w:val="00F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038D"/>
  <w15:chartTrackingRefBased/>
  <w15:docId w15:val="{35EFEC92-285C-42FC-B05F-5E87522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040"/>
  </w:style>
  <w:style w:type="paragraph" w:styleId="Heading1">
    <w:name w:val="heading 1"/>
    <w:basedOn w:val="Normal"/>
    <w:next w:val="Normal"/>
    <w:link w:val="Heading1Char"/>
    <w:uiPriority w:val="9"/>
    <w:qFormat/>
    <w:rsid w:val="005B10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0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0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0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0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0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0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0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0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04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B1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B104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B104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04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04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04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04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04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104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B10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104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0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04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B1040"/>
    <w:rPr>
      <w:b/>
      <w:bCs/>
    </w:rPr>
  </w:style>
  <w:style w:type="character" w:styleId="Emphasis">
    <w:name w:val="Emphasis"/>
    <w:basedOn w:val="DefaultParagraphFont"/>
    <w:uiPriority w:val="20"/>
    <w:qFormat/>
    <w:rsid w:val="005B1040"/>
    <w:rPr>
      <w:i/>
      <w:iCs/>
    </w:rPr>
  </w:style>
  <w:style w:type="paragraph" w:styleId="NoSpacing">
    <w:name w:val="No Spacing"/>
    <w:uiPriority w:val="1"/>
    <w:qFormat/>
    <w:rsid w:val="005B10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104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104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0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04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B104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B10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B10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B104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B10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1040"/>
    <w:pPr>
      <w:outlineLvl w:val="9"/>
    </w:pPr>
  </w:style>
  <w:style w:type="paragraph" w:styleId="ListParagraph">
    <w:name w:val="List Paragraph"/>
    <w:basedOn w:val="Normal"/>
    <w:uiPriority w:val="34"/>
    <w:qFormat/>
    <w:rsid w:val="005B1040"/>
    <w:pPr>
      <w:ind w:left="720"/>
      <w:contextualSpacing/>
    </w:pPr>
  </w:style>
  <w:style w:type="table" w:styleId="TableGrid">
    <w:name w:val="Table Grid"/>
    <w:basedOn w:val="TableNormal"/>
    <w:uiPriority w:val="39"/>
    <w:rsid w:val="0093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2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2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47C0-C94A-4F69-8E61-A290B45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Windows User</cp:lastModifiedBy>
  <cp:revision>4</cp:revision>
  <dcterms:created xsi:type="dcterms:W3CDTF">2018-02-05T08:05:00Z</dcterms:created>
  <dcterms:modified xsi:type="dcterms:W3CDTF">2018-02-05T08:19:00Z</dcterms:modified>
</cp:coreProperties>
</file>